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STIM</w:t>
      </w:r>
      <w:r>
        <w:rPr>
          <w:rFonts w:ascii="Calibri" w:hAnsi="Calibri"/>
          <w:b/>
          <w:color w:val="1A2010"/>
          <w:sz w:val="40"/>
        </w:rPr>
        <w:t xml:space="preserve">  Neuronetics, Inc.</w:t>
      </w:r>
    </w:p>
    <w:p>
      <w:pPr>
        <w:spacing w:after="120"/>
      </w:pPr>
      <w:r>
        <w:rPr>
          <w:rFonts w:ascii="Calibri" w:hAnsi="Calibri"/>
          <w:b/>
          <w:color w:val="6E8450"/>
          <w:sz w:val="18"/>
        </w:rPr>
        <w:t>GROWTH SLEEVE · 2026-07-18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Neuronetics, Inc. is a vertically integrated medical technology and healthcare company specializing in interventional mental health solutions. Its NeuroStar Advanced Therapy System uses transcranial magnetic stimulation (TMS) to treat adult and adolescent patients with major depressive disorder, as an adjunct for OCD, and to reduce anxiety symptoms in MDD patients. Following its December 2024 acquisition of Greenbrook TMS, the company also operates TMS and SPRAVATO (esketamine) treatment clinics directly. Headquartered in Malvern, Pennsylvania.</w:t>
      </w:r>
    </w:p>
    <w:p>
      <w:r>
        <w:rPr>
          <w:rFonts w:ascii="Calibri" w:hAnsi="Calibri"/>
          <w:b/>
          <w:color w:val="6E8450"/>
          <w:sz w:val="18"/>
        </w:rPr>
        <w:t>658 Employees · https://neuronetics.com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December 2024 acquisition of Greenbrook TMS transformed Neuronetics from a pure device manufacturer into a vertically integrated clinic operator, driving FY2025 revenue growth of 99% and 15% growth in U.S. Clinic revenue in Q1 2026, supported by SPRAVATO cross-sell [1][2]. AI Deployment (0/2): No evidence of AI-powered products, features, or quantified AI-driven savings was found in company disclosures. Market Share Leadership (2/2): NeuroStar is described as the leading TMS therapy for MDD with the largest clinical dataset of any TMS system, having delivered over 8 million treatments to more than 223,000 patients [6]. Product Pipeline (1/2): A May 2026 collaboration with ANT Neuro to integrate neuronavigation with NeuroStar, plus expanded FDA indications (adolescent MDD, OCD adjunct, anxiety symptoms), show pipeline activity, but no specific launch dates or revenue visibility were disclosed [6]. R&amp;D Intensity (0/1): No R&amp;D-to-revenue disclosure was found, and the company remains unprofitable, suggesting spend is constrained relative to larger med-tech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Neuronetics states that 'mental health is as important as physical health' and positions itself as a global neuroscience leader expanding treatment access — a clear, purpose-connected statement, though not distinctive enough among healthcare peers to be transformative [6]. Community Impact (0/2): No evidence of charitable giving, foundation activity, or community investment programs was found. Employee Retention (0/2): Glassdoor reviews show only 51% of employees would recommend working there, with culture and values rated 2.8/5 and career opportunities 2.7/5; reviews cite 'awful CEO and leadership,' alleged nepotism, and an executive team described as 'out of touch with rampant morale problems' [3]. Insider Buying (1/2): 10% owner Jorey Chernett has been a consistent net buyer, acquiring 3.6 million shares over the past year including a 150,000-share, ~$211,000 purchase in March 2026 and a 35,000-share purchase in July 2026 with no sales, but company-wide activity was roughly balanced at 10 insider buys versus 11 sells over the same period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growth/non-dividend stock. Debt-to-equity of 469% and ROE of -131.6% both floor at 0 given a thin equity base post-acquisition, and profit margin of -24.5% also floors at 0 [5]. Revenue growth is the bright spot: Q1 2026 revenue grew 8% YoY to $34.5 million with U.S. Clinic revenue up 15%, while the 5-year revenue CAGR of 27.9% (inflated by the Greenbrook acquisition rather than organic growth) caps at the maximum 1.0 score [1][2][5]. Forward P/E and Forward PEG are unavailable because the company remains unprofitable, so both are excluded from the weighted calculation. Liquidity is adequate — average volume of ~3.18 million shares at $1.62/share implies ~$5.1 million in daily dollar volume, clearing the $1 million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Neuronetics has a genuine, purpose-connected mission around mental health parity and has made a real strategic bet — vertically integrating into clinic operations via the Greenbrook acquisition — but the execution has been rocky. A March 2026 CEO change, persistent net losses, and Glassdoor reviews describing an out-of-touch executive team and low morale point to an organization still finding its footing rather than one built for multi-decade endurance.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'mental health is as important as physical health' framing genuinely connects Neuronetics' work to a larger purpose and shaped the decision to acquire Greenbrook and expand direct patient access, but the cause has not been tested across multiple leadership eras or economic cycles, and the March 2026 CEO turnover suggests the strategic narrative is still being defined [4][6].</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low-trust environment — 'awful CEO and leadership,' alleged nepotism, and an executive team called 'out of touch with rampant morale problems,' with only 51% of employees recommending the company and a 2.8/5 culture rating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commentary was found in which Neuronetics leadership frames competitors as sources of improvement or acknowledges rival strengths; available disclosures focus on Neuronetics' own clinical dataset and treatment volume rather than competitive positioning language.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Greenbrook TMS acquisition marked a real shift from a device-only manufacturer to a vertically integrated treatment provider, a meaningful adjacent-market move, though the core business remains centered on TMS rather than a full reinvention [6].</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to the Greenbrook acquisition and clinic build-out while already unprofitable, and the board's decision to replace the CEO with a growth-focused operator (Dan Reuvers, with a track record scaling Tactile Medical) rather than protect the status quo, reflect a willingness to take near-term pain for a longer-term platform bet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Neuronetics is in the early stages of a business model transformation, from a pure TMS device seller into a vertically integrated mental-health treatment operator, following its December 2024 acquisition of Greenbrook TMS. Q1 2026 revenue grew 8% YoY to $34.5 million, with U.S. Clinic revenue up 15% on strong SPRAVATO uptake and pricing gains, and management reaffirmed full-year guidance with operating cash flow expected to turn flat-to-positive in the second half of 2026 [1][2]. NeuroStar remains the clinical leader in its niche, with over 8 million treatments delivered to 223,000+ patients and the largest outcomes registry in TMS therapy, and a new CEO with a record of scaling medical device revenue (Dan Reuvers, ex-Tactile Medical) took over in March 2026 to drive the next growth phase [4][6].</w:t>
      </w:r>
    </w:p>
    <w:p>
      <w:pPr>
        <w:spacing w:after="120"/>
      </w:pPr>
      <w:r>
        <w:rPr>
          <w:rFonts w:ascii="Calibri" w:hAnsi="Calibri"/>
          <w:b w:val="0"/>
          <w:color w:val="3A4A28"/>
          <w:sz w:val="20"/>
        </w:rPr>
        <w:t>The bear case centers on balance sheet fragility and execution risk. Debt-to-equity of 469% and ROE of -131.6% reflect a thin equity base and continued net losses ($39.1 million in FY2025), and the stock trades at $1.62 with a market cap of just $112.7 million, down 55% over the past year [5]. Glassdoor reviews citing 'awful CEO and leadership,' alleged nepotism, and an 'out of touch' executive team predate the March 2026 CEO change but signal unresolved organizational dysfunction that the new leadership must fix quickly [3]. With cost cuts targeting only $2.5-3 million in annualized savings starting Q3 2026, the path to sustained profitability remains narrow, and any stumble in Greenbrook clinic integration or SPRAVATO reimbursement could reverse the recent growth trajectory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Dan Reuvers (appointed March 2026) executing a growth turnaround using his prior experience scaling Tactile Medical revenue from $187M to ~$300M</w:t>
      </w:r>
    </w:p>
    <w:p>
      <w:pPr>
        <w:spacing w:before="40" w:after="40"/>
        <w:ind w:left="283"/>
      </w:pPr>
      <w:r>
        <w:rPr>
          <w:rFonts w:ascii="Calibri" w:hAnsi="Calibri"/>
          <w:b/>
          <w:color w:val="4A6B25"/>
          <w:sz w:val="20"/>
        </w:rPr>
        <w:t xml:space="preserve">2. </w:t>
      </w:r>
      <w:r>
        <w:rPr>
          <w:rFonts w:ascii="Calibri" w:hAnsi="Calibri"/>
          <w:b w:val="0"/>
          <w:color w:val="3A4A28"/>
          <w:sz w:val="20"/>
        </w:rPr>
        <w:t>Operating cash flow inflecting to flat-to-positive in the second half of 2026 as $2.5-3M in annualized cost savings take effect starting Q3 2026</w:t>
      </w:r>
    </w:p>
    <w:p>
      <w:pPr>
        <w:spacing w:before="40" w:after="40"/>
        <w:ind w:left="283"/>
      </w:pPr>
      <w:r>
        <w:rPr>
          <w:rFonts w:ascii="Calibri" w:hAnsi="Calibri"/>
          <w:b/>
          <w:color w:val="4A6B25"/>
          <w:sz w:val="20"/>
        </w:rPr>
        <w:t xml:space="preserve">3. </w:t>
      </w:r>
      <w:r>
        <w:rPr>
          <w:rFonts w:ascii="Calibri" w:hAnsi="Calibri"/>
          <w:b w:val="0"/>
          <w:color w:val="3A4A28"/>
          <w:sz w:val="20"/>
        </w:rPr>
        <w:t>Continued SPRAVATO and NeuroStar cross-sell within Greenbrook clinics, plus the ANT Neuro neuronavigation collaboration launched May 2026 expanding the clinical value proposition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Debt-to-equity of 469% and negative ROE of -131.6% leave minimal balance sheet cushion if the Greenbrook integration underperforms or SPRAVATO reimbursement tightens</w:t>
      </w:r>
    </w:p>
    <w:p>
      <w:pPr>
        <w:spacing w:before="40" w:after="40"/>
        <w:ind w:left="283"/>
      </w:pPr>
      <w:r>
        <w:rPr>
          <w:rFonts w:ascii="Calibri" w:hAnsi="Calibri"/>
          <w:b/>
          <w:color w:val="4A6B25"/>
          <w:sz w:val="20"/>
        </w:rPr>
        <w:t xml:space="preserve">2. </w:t>
      </w:r>
      <w:r>
        <w:rPr>
          <w:rFonts w:ascii="Calibri" w:hAnsi="Calibri"/>
          <w:b w:val="0"/>
          <w:color w:val="3A4A28"/>
          <w:sz w:val="20"/>
        </w:rPr>
        <w:t>Persistent net losses ($39.1M in FY2025) against a $112.7M market cap and a stock down 55% over the past year signal the market is pricing meaningful going-concern and dilution risk</w:t>
      </w:r>
    </w:p>
    <w:p>
      <w:pPr>
        <w:spacing w:before="40" w:after="40"/>
        <w:ind w:left="283"/>
      </w:pPr>
      <w:r>
        <w:rPr>
          <w:rFonts w:ascii="Calibri" w:hAnsi="Calibri"/>
          <w:b/>
          <w:color w:val="4A6B25"/>
          <w:sz w:val="20"/>
        </w:rPr>
        <w:t xml:space="preserve">3. </w:t>
      </w:r>
      <w:r>
        <w:rPr>
          <w:rFonts w:ascii="Calibri" w:hAnsi="Calibri"/>
          <w:b w:val="0"/>
          <w:color w:val="3A4A28"/>
          <w:sz w:val="20"/>
        </w:rPr>
        <w:t>Glassdoor reviews describing an 'out of touch' executive team and low morale (2.8/5 culture rating, 51% recommend) predate the new CEO and represent an execution risk during a critical turnaround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NeuroStar's core therapy is a physical, FDA-regulated, in-clinic magnetic stimulation procedure that cannot be replicated by software — AI cannot deliver transcranial magnetic stimulation, and the treatment requires licensed clinical staff and specialized hardware [6]. The main indirect risk is that AI-driven teletherapy and mental-health chatbot apps could divert some mild-depression patients away from in-office treatment pathways before they ever reach a TMS referral, but this pressure is unconfirmed by analysts specific to Neuronetics and the company's target population (treatment-resistant MDD) is largely insulated. AI Opportunity (0/1): No evidence was found of Neuronetics generating quantifiable AI-related revenue; the ANT Neuro neuronavigation collaboration is software-enabled precision targeting but not marketed or monetized as an AI product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Neuronetics Q1 2026 Earnings Release (Form 8-K) — SEC, May 2026</w:t>
      </w:r>
    </w:p>
    <w:p>
      <w:pPr>
        <w:spacing w:before="20" w:after="20"/>
        <w:ind w:left="170"/>
      </w:pPr>
      <w:r>
        <w:rPr>
          <w:rFonts w:ascii="Calibri" w:hAnsi="Calibri"/>
          <w:b/>
          <w:color w:val="4A6B25"/>
          <w:sz w:val="15"/>
        </w:rPr>
        <w:t xml:space="preserve">2. </w:t>
      </w:r>
      <w:r>
        <w:rPr>
          <w:rFonts w:ascii="Calibri" w:hAnsi="Calibri"/>
          <w:b w:val="0"/>
          <w:color w:val="3A4A28"/>
          <w:sz w:val="17"/>
        </w:rPr>
        <w:t>Neuronetics (STIM) Q1 2026 Earnings Call Transcript — The Motley Fool, May 5, 2026</w:t>
      </w:r>
    </w:p>
    <w:p>
      <w:pPr>
        <w:spacing w:before="20" w:after="20"/>
        <w:ind w:left="170"/>
      </w:pPr>
      <w:r>
        <w:rPr>
          <w:rFonts w:ascii="Calibri" w:hAnsi="Calibri"/>
          <w:b/>
          <w:color w:val="4A6B25"/>
          <w:sz w:val="15"/>
        </w:rPr>
        <w:t xml:space="preserve">3. </w:t>
      </w:r>
      <w:r>
        <w:rPr>
          <w:rFonts w:ascii="Calibri" w:hAnsi="Calibri"/>
          <w:b w:val="0"/>
          <w:color w:val="3A4A28"/>
          <w:sz w:val="17"/>
        </w:rPr>
        <w:t>Neuronetics Employee Reviews — Glassdoor,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Neuronetics Appoints Dan Reuvers as President and CEO — StockTitan, March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STIM Financial Statistics, Ratios, and Financials,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Neuronetics Insider Trading Activity — GuruFocus and TipRanks, 2026</w:t>
      </w:r>
    </w:p>
    <w:p>
      <w:pPr>
        <w:spacing w:before="20" w:after="20"/>
        <w:ind w:left="170"/>
      </w:pPr>
      <w:r>
        <w:rPr>
          <w:rFonts w:ascii="Calibri" w:hAnsi="Calibri"/>
          <w:b/>
          <w:color w:val="4A6B25"/>
          <w:sz w:val="15"/>
        </w:rPr>
        <w:t xml:space="preserve">7. </w:t>
      </w:r>
      <w:r>
        <w:rPr>
          <w:rFonts w:ascii="Calibri" w:hAnsi="Calibri"/>
          <w:b w:val="0"/>
          <w:color w:val="3A4A28"/>
          <w:sz w:val="17"/>
        </w:rPr>
        <w:t>Neuronetics Highlights Continued Advancements in TMS Research at CTMSS 2026 — Neuronetics IR / GlobeNewswire, 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