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STT</w:t>
      </w:r>
      <w:r>
        <w:rPr>
          <w:rFonts w:ascii="Calibri" w:hAnsi="Calibri"/>
          <w:b/>
          <w:color w:val="1A2010"/>
          <w:sz w:val="40"/>
        </w:rPr>
        <w:t xml:space="preserve">  State Street Corporation</w:t>
      </w:r>
    </w:p>
    <w:p>
      <w:pPr>
        <w:spacing w:after="120"/>
      </w:pPr>
      <w:r>
        <w:rPr>
          <w:rFonts w:ascii="Calibri" w:hAnsi="Calibri"/>
          <w:b/>
          <w:color w:val="6E8450"/>
          <w:sz w:val="18"/>
        </w:rPr>
        <w:t>DIVIDEND SLEEVE · 2026-07-16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NYSE · United States</w:t>
      </w:r>
    </w:p>
    <w:p>
      <w:pPr>
        <w:spacing w:after="80"/>
      </w:pPr>
      <w:r>
        <w:rPr>
          <w:rFonts w:ascii="Calibri" w:hAnsi="Calibri"/>
          <w:b w:val="0"/>
          <w:color w:val="3A4A28"/>
          <w:sz w:val="20"/>
        </w:rPr>
        <w:t>State Street Corporation is a global financial holding company and one of the world's largest custodian banks, providing investment servicing, investment management, and investment research through its subsidiaries. State Street Global Advisors, the company's asset management arm, is one of the world's largest asset managers and the creator of the SPDR ETF franchise. The company serves institutional investors including mutual funds, collective investment funds, pension funds, and insurance companies. Headquartered in Boston, Massachusetts.</w:t>
      </w:r>
    </w:p>
    <w:p>
      <w:r>
        <w:rPr>
          <w:rFonts w:ascii="Calibri" w:hAnsi="Calibri"/>
          <w:b/>
          <w:color w:val="6E8450"/>
          <w:sz w:val="18"/>
        </w:rPr>
        <w:t>44,000 Employees · https://www.statestreet.com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State Street has executed a meaningful digital transformation over the past five years, launching the Alpha platform for investment operations, establishing AWS and Microsoft Azure cloud partnerships, and strategically in-sourcing operations that were previously outsourced — COO Mostapha Tahiri confirmed this AI-enabled in-sourcing is working to cut costs [2]. The SPDR ETF franchise continues to innovate with new products. However, the core custody business model has not fundamentally changed. AI Deployment (2/2): State Street appointed Manoj Bohra as Chief Data and AI Officer to advance the firm's enterprise AI strategy, with over $2B in annual technology spend supporting AI, automation, and cybersecurity capabilities [2]. The company is embedding AI-driven capabilities across platforms, processes, and client solutions with measurable cost reduction from in-sourcing previously outsourced operations. Market Share (1/2): State Street is one of the 'Big Three' custodian banks alongside BNY Mellon and JPMorgan, with approximately $44 trillion in assets under custody, but it is the smallest of the three and has lost some AUM market share due to ESG-related outflows [3]. Pipeline (0/2): No specific next-generation products with launch timelines were identified beyond general Alpha platform enhancements and AI capabilities. R&amp;D Intensity (1/1): The $2B+ annual technology investment represents a significant commitment relative to revenue, exceeding peer spending intensity in the custody banking space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State Street's purpose centers on helping create better outcomes for the world's investors and the people they serve — a clear mission for a financial services company but not distinctively articulated beyond what any custody bank might claim [2]. The 'Fearless Girl' campaign was iconic but has been strategically de-emphasized as the company retreated from ESG activism under political pressure. Community Impact (1/2): State Street maintains philanthropic programs and community engagement initiatives, and has historically championed board diversity and ESG principles — though the dramatic reversal from 46% to 21.5% support for E&amp;S shareholder proposals signals that community commitments bend under pressure [3]. Employee Retention (1/2): With 44,000 employees and a technology-focused culture, State Street maintains a competitive employer brand in financial services. CEO Ron O'Hanley's tenure since 2019 provides moderate leadership stability. However, specific retention metrics or tenure data were not identified. Insider Buying (1/2): Executive compensation is equity-heavy, aligning management interests with shareholders, though specific recent net insider buying beyond compensation-related activity was not confirmed.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D/E of 108.8% is moderate for a bank — above the 70% target but well below the 300% floor [4]. ROE of 11.94% approaches the 15% target [4]. Revenue growth of 7.4% for FY2025 is solid, with Q1 2026 accelerating to 16% [1]. Five-year revenue CAGR of approximately 3.7% reflects the steady but slow growth profile of custody banking. Forward P/E of approximately 14 is attractively below the 20 target, reflecting the stock's value characteristics [4]. Profit margin of 21.9% exceeds the 20% target [4]. Payout ratio of approximately 35% is well below the 40% target. Consecutive years of dividend payments exceeds 40 years. Consecutive years of dividend growth is approximately 13 years (resumed growth after 2008 crisis). Five-year dividend growth CAGR of approximately 8% (including the newly announced 10% raise) exceeds the 6% target. Liquidity floor passes: 2.0M avg daily volume x $183.65 = $367M.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State Street demonstrates mixed infinite-game characteristics. The company has built an enduring institution over 200+ years of operations, and its custody business inherently operates on multi-decade client relationships [1]. However, the dramatic retreat from ESG principles under political pressure — dropping support for environmental proposals from 46% to 6% — reveals a leadership team that prioritizes political expediency over long-term conviction [3]. The 'Fearless Girl' campaign was celebrated as courageous leadership, making the subsequent reversal all the more damaging to the company's infinite-game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State Street's purpose of creating better outcomes for investors connects to a legitimate societal function — enabling retirement security, endowment growth, and capital formation [2]. However, this mission is functional rather than inspirational, and identical in substance to what BNY Mellon or Northern Trust would claim. The ESG advocacy that once differentiated State Street's purpose has been largely abandoned, leaving a generic financial services mission without distinctive conviction.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State Street maintains a 44,000-person global workforce with a culture that CEO O'Hanley describes as inclusive and innovation-focused [2]. The strategic in-sourcing of previously outsourced operations (rather than further outsourcing) demonstrates investment in internal capabilities and teams. The diversity and inclusion focus remains part of corporate identity. However, the strategic pivots on ESG — celebrating Fearless Girl one year and retreating from E&amp;S proposals the next — may create internal confusion about values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BNY Mellon (larger in custody AUC) and Northern Trust (stronger in wealth management) serve as worthy rivals that push State Street to innovate in technology and client service [1]. The competitive dynamic between the Big Three custodians has driven significant technology investment. BlackRock's dominance in asset management and ETFs provides another worthy rival in the SPDR business. State Street studies and learns from these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State Street's digital transformation via Alpha platform, cloud partnerships (AWS, Microsoft Azure), and AI investment demonstrate willingness to evolve the how of its business [2]. The in-sourcing strategy reverses a prior outsourcing trend, showing adaptability. However, the core business model — custody banking, asset management, and ETFs — has remained fundamentally unchanged for decades. The company has not made a transformative strategic pivot comparable to entering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State Street's dramatic retreat from ESG advocacy — leaving Climate Action 100+, dropping E&amp;S proposal support from 46% to 6% — under congressional pressure represents a failure of courageous leadership [3]. The 'Fearless Girl' campaign earned praise when politically safe, but the company abandoned its convictions when challenged. On the positive side, the $2B+ annual technology investment and the strategic decision to in-source operations rather than chase short-term outsourcing savings show some operational courage [2]. But the ESG reversal dominates the courage assessment.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State Street delivered record fee and total revenue in FY2025 while expanding pre-tax margins, with Q1 2026 accelerating to 16% revenue growth driven by favorable market conditions and operational efficiency gains [1]. At 14x forward earnings with a 2.0% dividend yield (10% raise just announced), the stock offers compelling value for a franchise managing $44 trillion in assets under custody with $2B+ annual technology investment positioning it for the AI era [4]. The appointment of a Chief Data and AI Officer and the successful in-sourcing strategy demonstrate that State Street is leveraging technology to structurally improve its cost base rather than relying on market appreciation alone [2]. The 35% payout ratio provides ample room for continued dividend growth, and the 8% five-year dividend growth CAGR suggests a credible path to sustained high-single-digit annual raises.</w:t>
      </w:r>
    </w:p>
    <w:p>
      <w:pPr>
        <w:spacing w:after="120"/>
      </w:pPr>
      <w:r>
        <w:rPr>
          <w:rFonts w:ascii="Calibri" w:hAnsi="Calibri"/>
          <w:b w:val="0"/>
          <w:color w:val="3A4A28"/>
          <w:sz w:val="20"/>
        </w:rPr>
        <w:t>The bear case focuses on cyclicality and structural headwinds. State Street's revenue is highly correlated with global equity markets — a sustained downturn would compress AUC/AUM and reduce fee income. The company lost $35B in AUM to competitors Amundi and Invesco partially driven by ESG-related uncertainty, highlighting reputational costs of strategic inconsistency [3]. Revenue growth 5yr CAGR of only 3.7% reflects the slow-growth nature of custody banking, and the Q1 2026 acceleration may not be sustainable absent continued market tailwinds. D/E of 108.8% is manageable for a bank but leaves limited buffer in a stress scenario. The strategic ESG reversal raises governance concerns about leadership conviction and could continue to drive institutional outflows from clients who valued State Street's progressive stance. The company trades at a discount to BNY Mellon for structural reasons that may persist.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earnings expected July 16 with consensus EPS of $3.34 representing 53.9% YoY growth, driven by record revenue and continued margin expansion from technology-enabled operational efficiency</w:t>
      </w:r>
    </w:p>
    <w:p>
      <w:pPr>
        <w:spacing w:before="40" w:after="40"/>
        <w:ind w:left="283"/>
      </w:pPr>
      <w:r>
        <w:rPr>
          <w:rFonts w:ascii="Calibri" w:hAnsi="Calibri"/>
          <w:b/>
          <w:color w:val="4A6B25"/>
          <w:sz w:val="20"/>
        </w:rPr>
        <w:t xml:space="preserve">2. </w:t>
      </w:r>
      <w:r>
        <w:rPr>
          <w:rFonts w:ascii="Calibri" w:hAnsi="Calibri"/>
          <w:b w:val="0"/>
          <w:color w:val="3A4A28"/>
          <w:sz w:val="20"/>
        </w:rPr>
        <w:t>AI and automation deployment across the Alpha platform creating structural cost reduction that improves margins independent of market conditions, validated by COO's confirmation that in-sourcing is working</w:t>
      </w:r>
    </w:p>
    <w:p>
      <w:pPr>
        <w:spacing w:before="40" w:after="40"/>
        <w:ind w:left="283"/>
      </w:pPr>
      <w:r>
        <w:rPr>
          <w:rFonts w:ascii="Calibri" w:hAnsi="Calibri"/>
          <w:b/>
          <w:color w:val="4A6B25"/>
          <w:sz w:val="20"/>
        </w:rPr>
        <w:t xml:space="preserve">3. </w:t>
      </w:r>
      <w:r>
        <w:rPr>
          <w:rFonts w:ascii="Calibri" w:hAnsi="Calibri"/>
          <w:b w:val="0"/>
          <w:color w:val="3A4A28"/>
          <w:sz w:val="20"/>
        </w:rPr>
        <w:t>10% dividend increase to $0.92/quarter signals management confidence in sustained earnings growth, with 35% payout ratio providing runway for continued above-inflation dividend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concentration in market-sensitive fees means a sustained equity market downturn would compress AUC/AUM and reduce fee income across both custody and asset management businesses</w:t>
      </w:r>
    </w:p>
    <w:p>
      <w:pPr>
        <w:spacing w:before="40" w:after="40"/>
        <w:ind w:left="283"/>
      </w:pPr>
      <w:r>
        <w:rPr>
          <w:rFonts w:ascii="Calibri" w:hAnsi="Calibri"/>
          <w:b/>
          <w:color w:val="4A6B25"/>
          <w:sz w:val="20"/>
        </w:rPr>
        <w:t xml:space="preserve">2. </w:t>
      </w:r>
      <w:r>
        <w:rPr>
          <w:rFonts w:ascii="Calibri" w:hAnsi="Calibri"/>
          <w:b w:val="0"/>
          <w:color w:val="3A4A28"/>
          <w:sz w:val="20"/>
        </w:rPr>
        <w:t>ESG strategic reversal and loss of $35B in AUM to competitors demonstrates reputational vulnerability — further client defections from institutions seeking values-aligned custodians</w:t>
      </w:r>
    </w:p>
    <w:p>
      <w:pPr>
        <w:spacing w:before="40" w:after="40"/>
        <w:ind w:left="283"/>
      </w:pPr>
      <w:r>
        <w:rPr>
          <w:rFonts w:ascii="Calibri" w:hAnsi="Calibri"/>
          <w:b/>
          <w:color w:val="4A6B25"/>
          <w:sz w:val="20"/>
        </w:rPr>
        <w:t xml:space="preserve">3. </w:t>
      </w:r>
      <w:r>
        <w:rPr>
          <w:rFonts w:ascii="Calibri" w:hAnsi="Calibri"/>
          <w:b w:val="0"/>
          <w:color w:val="3A4A28"/>
          <w:sz w:val="20"/>
        </w:rPr>
        <w:t>Slow organic growth rate (3.7% 5yr CAGR) in the core custody business limits upside unless offset by sustained market appreciation or meaningful market share gains from competitors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State Street's core custody and asset servicing business benefits from substantial regulatory moats, scale advantages, and deeply embedded client relationships that AI cannot easily displace [1]. Custody operations require regulatory licenses, institutional trust built over decades, and infrastructure handling trillions in daily settlements. AI-native fintech competitors would need years and billions to replicate this infrastructure and regulatory standing. However, AI does pose moderate risk to the company's more commoditized services: routine fund accounting, reconciliation, and reporting tasks are prime automation targets, potentially enabling competitors with leaner operations. The $2B technology investment and Chief Data and AI Officer appointment demonstrate proactive positioning [2]. AI Opportunity (1/1): AI is actively being deployed to reduce costs through in-sourcing (replacing outsourced operations with AI-enhanced internal processes), enhance Alpha platform capabilities, improve risk management, and deliver better client analytics. CEO stated this approach is already working to cut costs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State Street Q1 2026 Record Revenue Earnings Beat, Q2 2026 Preview — Investing.com, Alphastreet, Morningstar, April-July 2026</w:t>
      </w:r>
    </w:p>
    <w:p>
      <w:pPr>
        <w:spacing w:before="20" w:after="20"/>
        <w:ind w:left="170"/>
      </w:pPr>
      <w:r>
        <w:rPr>
          <w:rFonts w:ascii="Calibri" w:hAnsi="Calibri"/>
          <w:b/>
          <w:color w:val="4A6B25"/>
          <w:sz w:val="15"/>
        </w:rPr>
        <w:t xml:space="preserve">2. </w:t>
      </w:r>
      <w:r>
        <w:rPr>
          <w:rFonts w:ascii="Calibri" w:hAnsi="Calibri"/>
          <w:b w:val="0"/>
          <w:color w:val="3A4A28"/>
          <w:sz w:val="17"/>
        </w:rPr>
        <w:t>State Street CEO, CTO/CIO, Chief Data &amp; AI Officer, Technology Investment, and In-sourcing Strategy — CIO Dive, Fortune, CDO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State Street ESG Controversy, Climate Action 100+ Exit, E&amp;S Proposal Support Decline, $35B AUM Loss — Boston Globe, ESG Dive, Sustainability Magazine, 2024-2026</w:t>
      </w:r>
    </w:p>
    <w:p>
      <w:pPr>
        <w:spacing w:before="20" w:after="20"/>
        <w:ind w:left="170"/>
      </w:pPr>
      <w:r>
        <w:rPr>
          <w:rFonts w:ascii="Calibri" w:hAnsi="Calibri"/>
          <w:b/>
          <w:color w:val="4A6B25"/>
          <w:sz w:val="15"/>
        </w:rPr>
        <w:t xml:space="preserve">4. </w:t>
      </w:r>
      <w:r>
        <w:rPr>
          <w:rFonts w:ascii="Calibri" w:hAnsi="Calibri"/>
          <w:b w:val="0"/>
          <w:color w:val="3A4A28"/>
          <w:sz w:val="17"/>
        </w:rPr>
        <w:t>State Street (STT) Financial Statistics and Valuation — StockAnalysis.com, MacroTrends, GuruFocus, Forbes,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