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SW</w:t>
      </w:r>
      <w:r>
        <w:rPr>
          <w:rFonts w:ascii="Calibri" w:hAnsi="Calibri"/>
          <w:b/>
          <w:color w:val="1A2010"/>
          <w:sz w:val="40"/>
        </w:rPr>
        <w:t xml:space="preserve">  Smurfit Westrock Plc</w:t>
      </w:r>
    </w:p>
    <w:p>
      <w:pPr>
        <w:spacing w:after="120"/>
      </w:pPr>
      <w:r>
        <w:rPr>
          <w:rFonts w:ascii="Calibri" w:hAnsi="Calibri"/>
          <w:b/>
          <w:color w:val="6E8450"/>
          <w:sz w:val="18"/>
        </w:rPr>
        <w:t>DIVIDEND SLEEVE · 2026-08-24 · Inspire: -49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60</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Materials · Packaging &amp; Containers · NYSE / London Stock Exchange · Ireland</w:t>
      </w:r>
    </w:p>
    <w:p>
      <w:pPr>
        <w:spacing w:after="80"/>
      </w:pPr>
      <w:r>
        <w:rPr>
          <w:rFonts w:ascii="Calibri" w:hAnsi="Calibri"/>
          <w:b w:val="0"/>
          <w:color w:val="3A4A28"/>
          <w:sz w:val="20"/>
        </w:rPr>
        <w:t>Smurfit Westrock, formed by the July 2024 combination of Smurfit Kappa and WestRock, is the world's largest publicly traded containerboard and packaging company, spanning corrugated packaging, paper mills, and sustainable packaging solutions across the Americas and Europe. Under third-generation CEO Tony Smurfit, the company is applying Smurfit Kappa's high-efficiency 'Smurfit Way' operating standards to WestRock's legacy U.S. mill system while targeting $7B adjusted EBITDA and 3 points of margin expansion by 2030. Q2 2026 revenue reached $8.03B (beating estimates) with paper markets 'sold out on virtually all grades,' but a $112M surge in freight and energy costs pressured adjusted EPS to $0.35 (below the $0.42 estimate) and prompted management to lower full-year adjusted EBITDA guidance to $4.9-5.1B [1].</w:t>
      </w:r>
    </w:p>
    <w:p>
      <w:r>
        <w:rPr>
          <w:rFonts w:ascii="Calibri" w:hAnsi="Calibri"/>
          <w:b/>
          <w:color w:val="6E8450"/>
          <w:sz w:val="18"/>
        </w:rPr>
        <w:t>100,000 Employees · https://www.smurfitwestrock.com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(3/3): The July 2024 merger of Smurfit Kappa and WestRock created the largest packaging company in the world by revenue, a genuinely transformative combination now driving a multi-year 'Smurfitization' of underperforming legacy WestRock mills toward Smurfit Kappa's higher-efficiency operating standards, underpinned by a formal medium-term plan targeting $7B adjusted EBITDA and 3 points of margin expansion by 2030 [1][2]. AI Deployment (1/2): Packaging designers use AI tools that management says help 'deliver market-ready solutions in weeks instead of months,' and the company applies AI/data-driven applications to win business and evaluate whether solutions are 'possible, profitable, desirable and better for the planet,' though no specific dollar savings or AI revenue figure was disclosed [2]. Market Share (2/2): Smurfit Westrock is the global #1 in containerboard/corrugated packaging by scale, and in Q2 2026 the company was 'sold out on virtually all paper grades' amid unusually tight markets — direct evidence of category leadership and pricing power [1][2]. Product Pipeline (1/2): The 'Better Planet Packaging' initiative is engineering paper-based alternatives to plastic shrink-wrap for beverage multipacks, with more than 34 customer experience centers globally (a third opening in the Chicago area), though without specific named product launch dates [2]. R&amp;D Intensity (0/1): No evidence was found that Smurfit Westrock's R&amp;D spend as a percentage of revenue exceeds packaging-industry peers.</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(3/4): 'Better Planet Packaging' is a specific, thoughtful purpose — engineering fiber-based, recyclable alternatives to plastic packaging — reinforced by science-based 2030 targets (28% Scope 1+2 GHG reduction, 22% water intake reduction, 24% landfill waste reduction vs. a 2019 baseline) and real capital investment such as net-zero operational emissions achieved at four French sites [2][3]. Community Impact (0/2): No evidence of a distinctive charitable program or community investment with specific dollar figures was found in research. Employee Retention (0/2): No specific tenure or turnover data was found; the ongoing multi-year post-merger integration of two large legacy workforces (Smurfit Kappa and WestRock) makes this an open question rather than a demonstrated strength. Insider Buying (0/2): CEO Tony Smurfit sold 40,000 shares at a weighted average price of $51.54 in February 2026; remaining Form 4 activity across the executive team consists of routine dividend-equivalent RSU grants rather than open-market buying, so there is no net insider buying signal [3].</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as a Dividend-sleeve stock (yield ~3.6-4.5%, continuing the decades-long Smurfit Kappa dividend record). D/E of ~75% and Forward P/E of 18.6x both roughly meet their targets, but profitability is currently weak post-merger: ROE of 3.91% and TTM profit margin of just 1.59% (Q1 2026 net margin 0.8%, Q2 1.1%) both score far below target, reflecting integration costs and the $112M freight/energy cost surge that hit Q2 2026 results [1]. Revenue growth is modest — +1.15% YoY in Q2 2026 and an estimated low-single-digit 5-year CAGR. On dividend quality, the payout ratio of 130.29% is at the 100%+ floor (scoring zero) given earnings compression even as the board continues raising the per-share dividend (2 consecutive years of increases, including a 5% hike to $0.4523/quarter in February 2026) — a combination that flags dividend sustainability risk if margins do not recover. The 5-year dividend growth CAGR is actually negative (-0.38%), reflecting the disruption of merging two separate dividend policies in 2024. The stock trades on ~5M shares of average daily volume, clearing the liquidity floor by a wide margin.</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6</w:t>
      </w:r>
      <w:r>
        <w:rPr>
          <w:rFonts w:ascii="Calibri" w:hAnsi="Calibri"/>
          <w:b w:val="0"/>
          <w:color w:val="9DAF88"/>
          <w:sz w:val="18"/>
        </w:rPr>
        <w:t xml:space="preserve"> /10</w:t>
      </w:r>
    </w:p>
    <w:p>
      <w:pPr>
        <w:spacing w:after="120"/>
      </w:pPr>
      <w:r>
        <w:rPr>
          <w:rFonts w:ascii="Calibri" w:hAnsi="Calibri"/>
          <w:b w:val="0"/>
          <w:color w:val="3A4A28"/>
          <w:sz w:val="18"/>
        </w:rPr>
        <w:t>Smurfit Westrock combines a genuine environmental Just Cause — 'Better Planet Packaging' displacing single-use plastic with fiber-based alternatives — with a real courage-to-lead track record: the 2024 Smurfit Kappa-WestRock merger was a bold long-term bet that has meant absorbing several quarters of margin compression (1-2% net margins, 3.91% ROE) while integrating two large legacy organizations toward a 2030 profitability target. Third-generation family leadership under Tony Smurfit provides unusual continuity of purpose, though the current CEO era has not yet been tested by a full economic cycle at the combined-entity's new scale.</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'Better Planet Packaging' — engineering paper-based, recyclable alternatives to plastic packaging — is a genuine, specific cause with real capital committed behind it (net-zero emissions achieved at four French sites, a U.S. recycled paper mill investment cutting ~5,500 tons of fossil fuel use annually), and it visibly shapes product development priorities, though it has not yet been tested through a full cycle at the newly combined company's scale [2][3].</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Third-generation CEO Tony Smurfit (with the company since 1986) and 'The Smurfit Way' culture provide real leadership continuity, but the ongoing multi-year 'Smurfitization' of legacy WestRock's US mill system implies significant organizational change and cultural integration challenges for the larger, newly combined workforce, and no positive retention data was found to offset that uncertainty.</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No specific commentary was found framing competitors such as International Paper as sources of self-improvement; available management language focuses on the company's own scale leadership and margin-expansion plan rather than explicit competitive learning.</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The Smurfit Kappa-WestRock merger was a major consolidation that reshaped the company's scale and geographic footprint, and the shift toward engineered paper-based alternatives to plastic packaging reflects real business-model evolution, but the core identity — a containerboard and corrugated packaging manufacturer — has not fundamentally changed [1][2].</w:t>
      </w:r>
    </w:p>
    <w:p>
      <w:pPr>
        <w:spacing w:before="200" w:after="40"/>
      </w:pPr>
      <w:r>
        <w:rPr>
          <w:rFonts w:ascii="Calibri" w:hAnsi="Calibri"/>
          <w:b/>
          <w:color w:val="1A2010"/>
          <w:sz w:val="22"/>
        </w:rPr>
        <w:t>Courage To Lead</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(2/2): Completing and now integrating the Smurfit Kappa-WestRock merger required accepting multiple quarters of compressed margins (net margins near 1-2%, ROE under 4%) and a 130%+ dividend payout ratio in service of a long-term 2030 target of $7B adjusted EBITDA and 3 points of margin expansion — a real, costly, multi-year bet on long-term capability over near-term earnings optics [1][2].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Smurfit Westrock is the global scale leader in containerboard and corrugated packaging, formed by the transformative 2024 Smurfit Kappa-WestRock merger and now applying Smurfit's higher-efficiency operating discipline to WestRock's legacy US mill system toward a 2030 target of $7B adjusted EBITDA and 3 points of margin expansion [1][2]. Q2 2026 revenue of $8.03B beat estimates and management described paper markets as 'sold out on virtually all grades,' evidence of genuine pricing power and demand strength even as broader corrugated volumes stay roughly flat [1]. A Forward P/E of 18.6x and PEG near 0.45 price in a meaningful earnings recovery as merger synergies and the 'Better Planet Packaging' sustainability positioning (fiber alternatives to plastic shrink-wrap) support both share gains and margin expansion over the medium term.</w:t>
      </w:r>
    </w:p>
    <w:p>
      <w:pPr>
        <w:spacing w:after="120"/>
      </w:pPr>
      <w:r>
        <w:rPr>
          <w:rFonts w:ascii="Calibri" w:hAnsi="Calibri"/>
          <w:b w:val="0"/>
          <w:color w:val="3A4A28"/>
          <w:sz w:val="20"/>
        </w:rPr>
        <w:t>The bear case centers on current profitability and dividend sustainability. TTM profit margin of just 1.59% (quarterly net margins of 0.8-1.3%) and ROE of 3.91% reflect real post-merger integration drag, worsened in Q2 2026 by a $112M surge in freight and energy costs that pushed adjusted EPS to $0.35, below the $0.42 estimate, and forced management to lower full-year adjusted EBITDA guidance to $4.9-5.1B [1]. Against this earnings backdrop, the board has continued raising the dividend (2 consecutive years of increases, most recently a 5% hike in February 2026), pushing the payout ratio to 130.29% — a level that is not sustainable if margins do not recover as planned, and the 5-year dividend growth CAGR is already negative (-0.38%) reflecting the 2024 policy reset. CEO Tony Smurfit's February 2026 sale of 40,000 shares, while modest relative to his ~1.7 million-share holding, offers no offsetting insider-conviction signal. Execution risk on the multi-year 'Smurfitization' of WestRock's mill system remains the central variable determining whether the 2030 margin targets — and the current dividend — are achievable.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Continued 'Smurfitization' of legacy WestRock mills toward Smurfit Kappa's operating efficiency standards, which management is targeting to drive $7B adjusted EBITDA and 3 points of margin expansion by 2030 [2]</w:t>
      </w:r>
    </w:p>
    <w:p>
      <w:pPr>
        <w:spacing w:before="40" w:after="40"/>
        <w:ind w:left="283"/>
      </w:pPr>
      <w:r>
        <w:rPr>
          <w:rFonts w:ascii="Calibri" w:hAnsi="Calibri"/>
          <w:b/>
          <w:color w:val="4A6B25"/>
          <w:sz w:val="20"/>
        </w:rPr>
        <w:t xml:space="preserve">2. </w:t>
      </w:r>
      <w:r>
        <w:rPr>
          <w:rFonts w:ascii="Calibri" w:hAnsi="Calibri"/>
          <w:b w:val="0"/>
          <w:color w:val="3A4A28"/>
          <w:sz w:val="20"/>
        </w:rPr>
        <w:t>Tight paper markets with the company 'sold out on virtually all grades' in Q2 2026, which could support continued price/mix improvement if the demand environment persists into H2 2026 [1]</w:t>
      </w:r>
    </w:p>
    <w:p>
      <w:pPr>
        <w:spacing w:before="40" w:after="40"/>
        <w:ind w:left="283"/>
      </w:pPr>
      <w:r>
        <w:rPr>
          <w:rFonts w:ascii="Calibri" w:hAnsi="Calibri"/>
          <w:b/>
          <w:color w:val="4A6B25"/>
          <w:sz w:val="20"/>
        </w:rPr>
        <w:t xml:space="preserve">3. </w:t>
      </w:r>
      <w:r>
        <w:rPr>
          <w:rFonts w:ascii="Calibri" w:hAnsi="Calibri"/>
          <w:b w:val="0"/>
          <w:color w:val="3A4A28"/>
          <w:sz w:val="20"/>
        </w:rPr>
        <w:t>Growth of the 'Better Planet Packaging' platform (fiber-based alternatives to plastic shrink-wrap and other packaging) as brand owners face regulatory and consumer pressure to eliminate single-use plastics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Dividend sustainability — a 130.29% payout ratio against a 1.59% TTM profit margin and negative 5-year dividend growth CAGR (-0.38%) signals the current dividend is not well-covered by earnings unless margins recover as planned [1]</w:t>
      </w:r>
    </w:p>
    <w:p>
      <w:pPr>
        <w:spacing w:before="40" w:after="40"/>
        <w:ind w:left="283"/>
      </w:pPr>
      <w:r>
        <w:rPr>
          <w:rFonts w:ascii="Calibri" w:hAnsi="Calibri"/>
          <w:b/>
          <w:color w:val="4A6B25"/>
          <w:sz w:val="20"/>
        </w:rPr>
        <w:t xml:space="preserve">2. </w:t>
      </w:r>
      <w:r>
        <w:rPr>
          <w:rFonts w:ascii="Calibri" w:hAnsi="Calibri"/>
          <w:b w:val="0"/>
          <w:color w:val="3A4A28"/>
          <w:sz w:val="20"/>
        </w:rPr>
        <w:t>Freight and energy cost volatility, which drove a $112M cost surge in Q2 2026 alone and forced a cut to full-year adjusted EBITDA guidance, showing continued sensitivity to input cost inflation [1]</w:t>
      </w:r>
    </w:p>
    <w:p>
      <w:pPr>
        <w:spacing w:before="40" w:after="40"/>
        <w:ind w:left="283"/>
      </w:pPr>
      <w:r>
        <w:rPr>
          <w:rFonts w:ascii="Calibri" w:hAnsi="Calibri"/>
          <w:b/>
          <w:color w:val="4A6B25"/>
          <w:sz w:val="20"/>
        </w:rPr>
        <w:t xml:space="preserve">3. </w:t>
      </w:r>
      <w:r>
        <w:rPr>
          <w:rFonts w:ascii="Calibri" w:hAnsi="Calibri"/>
          <w:b w:val="0"/>
          <w:color w:val="3A4A28"/>
          <w:sz w:val="20"/>
        </w:rPr>
        <w:t>Merger integration execution risk — the multi-year 'Smurfitization' of WestRock's legacy US mill system must succeed for ROE (currently 3.91%) and profit margins (currently ~1.6%) to recover toward levels consistent with the 2030 targets [1][2]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Smurfit Westrock's core business — operating paper mills and converting fiber into corrugated boxes and packaging for e-commerce and consumer goods supply chains — is physical, capital-intensive, and structurally immune to AI substitution; AI software cannot run a paper machine or fold a box. Packaging is, if anything, a beneficiary of e-commerce growth (itself partly AI-driven), and no analyst commentary in research flagged AI disruption risk to containerboard or corrugated packaging demand. AI Opportunity (0/1): AI-assisted design tools reportedly speed up product development ('weeks instead of months'), but no specific AI-attributable revenue or cost-savings figure was disclosed, so this is scored conservatively at 0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DC2626"/>
          <w:sz w:val="28"/>
        </w:rPr>
        <w:t>-49</w:t>
      </w:r>
      <w:r>
        <w:rPr>
          <w:rFonts w:ascii="Calibri" w:hAnsi="Calibri"/>
          <w:b/>
          <w:color w:val="B8860B"/>
          <w:sz w:val="20"/>
        </w:rPr>
        <w:t xml:space="preserve">    MISALIGNED</w:t>
      </w:r>
    </w:p>
    <w:p>
      <w:pPr>
        <w:spacing w:before="80" w:after="40"/>
      </w:pPr>
      <w:r>
        <w:rPr>
          <w:rFonts w:ascii="Calibri" w:hAnsi="Calibri"/>
          <w:b/>
          <w:color w:val="6E8450"/>
          <w:sz w:val="18"/>
        </w:rPr>
        <w:t xml:space="preserve">Negative: </w:t>
      </w:r>
      <w:r>
        <w:rPr>
          <w:rFonts w:ascii="Calibri" w:hAnsi="Calibri"/>
          <w:b/>
          <w:color w:val="DC2626"/>
          <w:sz w:val="17"/>
        </w:rPr>
        <w:t xml:space="preserve"> LGBT Activism </w:t>
      </w:r>
    </w:p>
    <w:p>
      <w:pPr>
        <w:spacing w:before="80" w:after="40"/>
      </w:pPr>
      <w:r>
        <w:rPr>
          <w:rFonts w:ascii="Calibri" w:hAnsi="Calibri"/>
          <w:b/>
          <w:color w:val="6E8450"/>
          <w:sz w:val="18"/>
        </w:rPr>
        <w:t xml:space="preserve">Positive: </w:t>
      </w:r>
      <w:r>
        <w:rPr>
          <w:rFonts w:ascii="Calibri" w:hAnsi="Calibri"/>
          <w:b/>
          <w:color w:val="16A34A"/>
          <w:sz w:val="17"/>
        </w:rPr>
        <w:t xml:space="preserve"> Business Ethics </w:t>
      </w:r>
      <w:r>
        <w:rPr>
          <w:rFonts w:ascii="Calibri" w:hAnsi="Calibri"/>
          <w:b w:val="0"/>
          <w:color w:val="9DAF88"/>
          <w:sz w:val="17"/>
        </w:rPr>
        <w:t xml:space="preserve">  ·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Labor Practices </w:t>
      </w:r>
      <w:r>
        <w:rPr>
          <w:rFonts w:ascii="Calibri" w:hAnsi="Calibri"/>
          <w:b w:val="0"/>
          <w:color w:val="9DAF88"/>
          <w:sz w:val="17"/>
        </w:rPr>
        <w:t xml:space="preserve">  ·  </w:t>
      </w:r>
      <w:r>
        <w:rPr>
          <w:rFonts w:ascii="Calibri" w:hAnsi="Calibri"/>
          <w:b/>
          <w:color w:val="16A34A"/>
          <w:sz w:val="17"/>
        </w:rPr>
        <w:t xml:space="preserve"> Ethical Sales Practices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Human Rights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Safety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Regulatory Adherence </w:t>
      </w:r>
      <w:r>
        <w:rPr>
          <w:rFonts w:ascii="Calibri" w:hAnsi="Calibri"/>
          <w:b w:val="0"/>
          <w:color w:val="9DAF88"/>
          <w:sz w:val="17"/>
        </w:rPr>
        <w:t xml:space="preserve">  ·  </w:t>
      </w:r>
      <w:r>
        <w:rPr>
          <w:rFonts w:ascii="Calibri" w:hAnsi="Calibri"/>
          <w:b/>
          <w:color w:val="16A34A"/>
          <w:sz w:val="17"/>
        </w:rPr>
        <w:t xml:space="preserve"> Waste and Hazmat Management </w:t>
      </w:r>
      <w:r>
        <w:rPr>
          <w:rFonts w:ascii="Calibri" w:hAnsi="Calibri"/>
          <w:b w:val="0"/>
          <w:color w:val="9DAF88"/>
          <w:sz w:val="17"/>
        </w:rPr>
        <w:t xml:space="preserve">  ·  </w:t>
      </w:r>
      <w:r>
        <w:rPr>
          <w:rFonts w:ascii="Calibri" w:hAnsi="Calibri"/>
          <w:b/>
          <w:color w:val="16A34A"/>
          <w:sz w:val="17"/>
        </w:rPr>
        <w:t xml:space="preserve"> Water Conservation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Smurfit Westrock Q1 and Q2 2026 Earnings Results — Revenue $8.03B, Adjusted EPS $0.35 (miss), $112M Freight/Energy Cost Surge, Full-Year Adjusted EBITDA Guidance Cut to $4.9-5.1B, Sold-Out Paper Markets — Investing.com, 247wallst.com, Grafa, StockTitan, Packaging Dive, MarketScreener, July-August 2026</w:t>
      </w:r>
    </w:p>
    <w:p>
      <w:pPr>
        <w:spacing w:before="20" w:after="20"/>
        <w:ind w:left="170"/>
      </w:pPr>
      <w:r>
        <w:rPr>
          <w:rFonts w:ascii="Calibri" w:hAnsi="Calibri"/>
          <w:b/>
          <w:color w:val="4A6B25"/>
          <w:sz w:val="15"/>
        </w:rPr>
        <w:t xml:space="preserve">2. </w:t>
      </w:r>
      <w:r>
        <w:rPr>
          <w:rFonts w:ascii="Calibri" w:hAnsi="Calibri"/>
          <w:b w:val="0"/>
          <w:color w:val="3A4A28"/>
          <w:sz w:val="17"/>
        </w:rPr>
        <w:t>Smurfit Kappa-WestRock Merger, 'Smurfitization' Strategy, 2030 $7B EBITDA Target, AI Design Tools, 'Better Planet Packaging' 2030 Sustainability Targets — AI Magazine, TAPPI, Packaging Dive, Packaging Europe, ESG Dive, Ink World Magazine, 2025-2026</w:t>
      </w:r>
    </w:p>
    <w:p>
      <w:pPr>
        <w:spacing w:before="20" w:after="20"/>
        <w:ind w:left="170"/>
      </w:pPr>
      <w:r>
        <w:rPr>
          <w:rFonts w:ascii="Calibri" w:hAnsi="Calibri"/>
          <w:b/>
          <w:color w:val="4A6B25"/>
          <w:sz w:val="15"/>
        </w:rPr>
        <w:t xml:space="preserve">3. </w:t>
      </w:r>
      <w:r>
        <w:rPr>
          <w:rFonts w:ascii="Calibri" w:hAnsi="Calibri"/>
          <w:b w:val="0"/>
          <w:color w:val="3A4A28"/>
          <w:sz w:val="17"/>
        </w:rPr>
        <w:t>Smurfit Westrock Insider Trading — CEO Tony Smurfit 40,000-Share Sale (Feb 2026), Dividend History (2 Consecutive Years of Increases, 5yr Dividend CAGR -0.38%, Payout Ratio 130.29%) — SEC EDGAR, StockTitan, FinanceCharts, Dividend.com, August 2026</w:t>
      </w:r>
    </w:p>
    <w:p>
      <w:pPr>
        <w:spacing w:before="20" w:after="20"/>
        <w:ind w:left="170"/>
      </w:pPr>
      <w:r>
        <w:rPr>
          <w:rFonts w:ascii="Calibri" w:hAnsi="Calibri"/>
          <w:b/>
          <w:color w:val="4A6B25"/>
          <w:sz w:val="15"/>
        </w:rPr>
        <w:t xml:space="preserve">4. </w:t>
      </w:r>
      <w:r>
        <w:rPr>
          <w:rFonts w:ascii="Calibri" w:hAnsi="Calibri"/>
          <w:b w:val="0"/>
          <w:color w:val="3A4A28"/>
          <w:sz w:val="17"/>
        </w:rPr>
        <w:t>Smurfit Westrock Financial Statistics — Forward P/E 18.60x, PEG ~0.45, D/E 75%, ROE 3.91%, TTM Profit Margin 1.59%, Stock Price $47.38 — StockAnalysis.com, WallStreetZen, Yahoo Finance, August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