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TAK</w:t>
      </w:r>
      <w:r>
        <w:rPr>
          <w:rFonts w:ascii="Calibri" w:hAnsi="Calibri"/>
          <w:b/>
          <w:color w:val="1A2010"/>
          <w:sz w:val="40"/>
        </w:rPr>
        <w:t xml:space="preserve">  Takeda Pharmaceutical Company Limited</w:t>
      </w:r>
    </w:p>
    <w:p>
      <w:pPr>
        <w:spacing w:after="120"/>
      </w:pPr>
      <w:r>
        <w:rPr>
          <w:rFonts w:ascii="Calibri" w:hAnsi="Calibri"/>
          <w:b/>
          <w:color w:val="6E8450"/>
          <w:sz w:val="18"/>
        </w:rPr>
        <w:t>GROWTH SLEEVE · 2026-07-10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Japan</w:t>
      </w:r>
    </w:p>
    <w:p>
      <w:pPr>
        <w:spacing w:after="80"/>
      </w:pPr>
      <w:r>
        <w:rPr>
          <w:rFonts w:ascii="Calibri" w:hAnsi="Calibri"/>
          <w:b w:val="0"/>
          <w:color w:val="3A4A28"/>
          <w:sz w:val="20"/>
        </w:rPr>
        <w:t>Takeda Pharmaceutical Company Limited is a global, values-based, R&amp;D-driven biopharmaceutical leader headquartered in Tokyo, Japan. With a 240+ year heritage dating to 1781, Takeda focuses on developing therapies across gastroenterology (ENTYVIO), rare diseases, plasma-derived therapies, oncology, and neuroscience. The company operates in approximately 80 countries and was fundamentally transformed by the $62B acquisition of Shire plc in 2019.</w:t>
      </w:r>
    </w:p>
    <w:p>
      <w:r>
        <w:rPr>
          <w:rFonts w:ascii="Calibri" w:hAnsi="Calibri"/>
          <w:b/>
          <w:color w:val="6E8450"/>
          <w:sz w:val="18"/>
        </w:rPr>
        <w:t>47,000 Employees · https://www.takeda.com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$62B Shire acquisition in 2019 was transformative, repositioning Takeda from a Japan-centric pharma into a global biopharmaceutical leader with a rare diseases and plasma-derived therapies franchise [1]. Growth and Launch Products totaled JPY 2,313.3B (+5.1% AER) in FY2026, demonstrating successful pipeline execution despite VYVANSE generic erosion [1]. AI Deployment (1/2): Takeda has established a Transformation Office integrating AI across drug discovery and development, with leadership stating that 'embracing AI and advanced technology is an absolute must to compete,' though no specific quantified AI-driven savings or revenue have been reported [3]. Market Share (1/2): Global leader in plasma-derived therapies and gastrointestinal treatments with ENTYVIO, a blockbuster biologic generating over $5B annually [1]. Product Pipeline (1/2): Multiple late-stage programs with specific timelines, but FY2027 guidance signals core earnings decline as VYVANSE generic pressure accelerates, creating near-term headwinds to pipeline momentum [1]. R&amp;D Intensity (1/1): R&amp;D spending at approximately 20% of revenue, above the large-cap pharma industry average, reflecting commitment to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Takeda's purpose 'Better Health, Brighter Future' is grounded in Takeda-ism values (Integrity, Fairness, Honesty, Perseverance) established in 1781 and validated by 240+ years of continuous pharmaceutical operation through wars, economic crises, and industry transformation [1][2]. The values genuinely differentiate from Western pharma peers and shape decision-making, though the purpose itself does not quite reach the level of a transformative Just Cause proven through strategic sacrifice. Community Impact (1/2): Takeda has extensive global patient access programs and disaster relief initiatives in Japan, with corporate philanthropy aligned with healthcare access, though specific dollar amounts for community investment are not prominently highlighted [2]. Employee Retention (1/2): Glassdoor reviews reveal strong colleague relationships with emphasis on 'trust, institutional knowledge, and collaboration,' and compensation/benefits rated 4.1/5, though some reviews describe risk-averse culture with slow decision-making and multiple layers of approval [5]. Insider Buying (0/2): Recent insider activity is entirely compensation-related RSU grants and tax awards; no meaningful open-market purchasing by executives identified in the past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Takeda's balance sheet is well-managed with D/E of 73% and $4.60B cash, though $35.08B in total debt from the Shire acquisition remains a significant obligation [4]. The core challenge is profitability: net profit margin of only 0.75% and ROE of 0.47% reflect the heavy cost structure of a global pharma operation with ongoing generic erosion of legacy products [1][4]. Core revenue declined 1.6% AER in FY2026 (revenue_growth_yoy) driven by VYVANSE generic competition in Neuroscience, and the 5-year revenue CAGR of approximately 0% reflects flat post-Shire-acquisition top-line performance [1]. Forward PE of 22.70 is the strongest metric, suggesting analysts expect significant earnings recovery. Forward PEG excluded from calculation due to unreliable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Takeda's 240-year heritage and Takeda-ism values (Integrity, Fairness, Honesty, Perseverance) give it one of the most authentic purpose foundations in global pharma. The transformative Shire acquisition demonstrates existential flexibility, and the company's patient-first framing reflects infinite-minded thinking. However, the risk-averse internal culture and slow decision-making processes weigh against the courage and trust dimensions.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'Better Health, Brighter Future' grounded in Takeda-ism values established in 1781 is genuine, specific to healthcare, and has guided 240+ years of continuous pharmaceutical innovation through multiple crises and leadership transitions [1][2]. The values shape decision-making (patient-first, employee development, societal contribution) and differentiate from Western pharma peers. However, the purpose has not been the singular competitive advantage in the way NVDA's 'accelerate computing' drove its AI dominance; Takeda's strategic decisions are driven as much by commercial opportunity as by the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reviews describe strong colleague relationships with emphasis on trust and collaboration, and compensation/benefits are rated 4.1/5 on Glassdoor [5]. However, the organization is described as 'very risk-averse' with 'slow decision-making' and 'multiple layers of approval,' and some reviews characterize senior leadership as 'pushy, toxic and career hungry' [5]. The recent organizational restructuring for FY2026 with changes to the executive leadership team adds instability. Overall trust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Takeda competes in the global pharma market by focusing on therapeutic areas where it can deliver the most patient impact rather than trying to dominate every category. The company's competitive strategy centers on its unique strengths in rare diseases and plasma-derived therapies rather than head-to-head battles with rivals, and CEO-Elect Julie Kim frames competition in terms of 'speed and competitiveness' to bring medicines to patients rather than defeating specific competitors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Takeda's $62B acquisition of Shire in 2019 was a transformative pivot that fundamentally reinvented the company from a Japan-focused pharmaceutical firm into a top-10 global biopharmaceutical leader [1]. The company took on massive debt ($35B+), changed its organizational language to English, and shifted its center of gravity from Tokyo to a global operating model. This was driven by the strategic vision of serving more patients globally rather than desperation, making it a textbook example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$62B Shire acquisition was one of the largest pharma deals in history and a genuinely courageous bet that loaded the company with significant debt to pursue a global vision [1]. However, internal culture is described as risk-averse with slow decision-making, suggesting the acquisition may have been a singular act of courage rather than a pattern. The recent leadership transition from Christophe Weber to Julie Kim and organizational restructuring for FY2026 could represent either courageous renewal or reactive cost management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Takeda offers a defensive pharma position with forward PE of 22.70 implying substantial earnings recovery, D/E of 73% (well-managed post-Shire), and $6.53B in free cash flow supporting continued deleveraging and dividend maintenance [1][4]. Growth and Launch Products grew 5.1% to JPY 2,313.3B in FY2026, now comprising over half of core revenue, and the company's unmatched position in plasma-derived therapies and rare diseases provides durable competitive moats. The 240-year heritage and Takeda-ism values create a cultural foundation that differentiates from Western pharma peers in terms of long-term strategic orientation.</w:t>
      </w:r>
    </w:p>
    <w:p>
      <w:pPr>
        <w:spacing w:after="120"/>
      </w:pPr>
      <w:r>
        <w:rPr>
          <w:rFonts w:ascii="Calibri" w:hAnsi="Calibri"/>
          <w:b w:val="0"/>
          <w:color w:val="3A4A28"/>
          <w:sz w:val="20"/>
        </w:rPr>
        <w:t>The bear case centers on persistent revenue headwinds as VYVANSE generic erosion accelerates, dragging core revenue down 1.6% in FY2026 with FY2027 guidance signaling continued core earnings decline [1]. Net profit margin of just 0.75% and ROE of 0.47% reflect a company still digesting the Shire acquisition's cost structure, and the $35.08B debt load limits financial flexibility. The ADR's trailing PE of 202.91 highlights how depressed current GAAP earnings are relative to the stock price, and the dividend yield of only 1.93% provides limited income compensation for investors waiting for the earnings recovery thesis to materialize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and Launch Products accelerating above 5% annual growth as products like ENTYVIO (subcutaneous formulation), plasma-derived therapies, and oncology pipeline replacements offset VYVANSE generic erosion</w:t>
      </w:r>
    </w:p>
    <w:p>
      <w:pPr>
        <w:spacing w:before="40" w:after="40"/>
        <w:ind w:left="283"/>
      </w:pPr>
      <w:r>
        <w:rPr>
          <w:rFonts w:ascii="Calibri" w:hAnsi="Calibri"/>
          <w:b/>
          <w:color w:val="4A6B25"/>
          <w:sz w:val="20"/>
        </w:rPr>
        <w:t xml:space="preserve">2. </w:t>
      </w:r>
      <w:r>
        <w:rPr>
          <w:rFonts w:ascii="Calibri" w:hAnsi="Calibri"/>
          <w:b w:val="0"/>
          <w:color w:val="3A4A28"/>
          <w:sz w:val="20"/>
        </w:rPr>
        <w:t>Forward PE of 22.70 implies analysts expect significant earnings improvement from $35B+ debt deleveraging, margin expansion from organizational restructuring, and mix shift toward higher-margin biologics</w:t>
      </w:r>
    </w:p>
    <w:p>
      <w:pPr>
        <w:spacing w:before="40" w:after="40"/>
        <w:ind w:left="283"/>
      </w:pPr>
      <w:r>
        <w:rPr>
          <w:rFonts w:ascii="Calibri" w:hAnsi="Calibri"/>
          <w:b/>
          <w:color w:val="4A6B25"/>
          <w:sz w:val="20"/>
        </w:rPr>
        <w:t xml:space="preserve">3. </w:t>
      </w:r>
      <w:r>
        <w:rPr>
          <w:rFonts w:ascii="Calibri" w:hAnsi="Calibri"/>
          <w:b w:val="0"/>
          <w:color w:val="3A4A28"/>
          <w:sz w:val="20"/>
        </w:rPr>
        <w:t>CEO transition to Julie Kim and organizational restructuring for FY2026 focused on 'simplicity, speed and efficiency' could unlock operational improvements in a historically slow-moving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VYVANSE generic erosion drove core revenue down 1.6% in FY2026 and FY2027 guidance signals continued core earnings pressure, with no clear timeline for when Growth Products fully offset the Neuroscience franchise decline</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0.75% and ROE of 0.47% indicate the company has not yet achieved operational efficiency post-Shire, with $35.08B in debt requiring sustained free cash flow generation to deleverage</w:t>
      </w:r>
    </w:p>
    <w:p>
      <w:pPr>
        <w:spacing w:before="40" w:after="40"/>
        <w:ind w:left="283"/>
      </w:pPr>
      <w:r>
        <w:rPr>
          <w:rFonts w:ascii="Calibri" w:hAnsi="Calibri"/>
          <w:b/>
          <w:color w:val="4A6B25"/>
          <w:sz w:val="20"/>
        </w:rPr>
        <w:t xml:space="preserve">3. </w:t>
      </w:r>
      <w:r>
        <w:rPr>
          <w:rFonts w:ascii="Calibri" w:hAnsi="Calibri"/>
          <w:b w:val="0"/>
          <w:color w:val="3A4A28"/>
          <w:sz w:val="20"/>
        </w:rPr>
        <w:t>Risk-averse internal culture with 'slow decision-making and multiple layers of approval' could impair the company's ability to adapt to AI-driven drug discovery acceleration by more agile biotech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Takeda's core business of drug manufacturing, clinical development, and regulatory-moated pharmaceutical distribution is structurally protected from AI disruption [3]. Physical drug production, multi-year clinical trial processes, and stringent FDA/EMA regulatory requirements create deep barriers that AI cannot bypass. Plasma-derived therapies require biological inputs that are inherently non-replicable by technology. However, AI is accelerating competitor drug discovery timelines, potentially compressing the window of competitive advantage for any given therapeutic [3]. The company's risk-averse culture could slow AI adoption relative to more agile biotech peers. AI Opportunity (0/1): Takeda is integrating AI across its R&amp;D pipeline and has established a Transformation Office to accelerate digital initiatives, but no quantifiable AI-driven revenue or specific cost savings have been reported publicly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Takeda FY2026 Annual Results (Year Ended March 31, 2026) — SEC Form 6-K and Takeda Newsroom, May 2026</w:t>
      </w:r>
    </w:p>
    <w:p>
      <w:pPr>
        <w:spacing w:before="20" w:after="20"/>
        <w:ind w:left="170"/>
      </w:pPr>
      <w:r>
        <w:rPr>
          <w:rFonts w:ascii="Calibri" w:hAnsi="Calibri"/>
          <w:b/>
          <w:color w:val="4A6B25"/>
          <w:sz w:val="15"/>
        </w:rPr>
        <w:t xml:space="preserve">2. </w:t>
      </w:r>
      <w:r>
        <w:rPr>
          <w:rFonts w:ascii="Calibri" w:hAnsi="Calibri"/>
          <w:b w:val="0"/>
          <w:color w:val="3A4A28"/>
          <w:sz w:val="17"/>
        </w:rPr>
        <w:t>Takeda Organizational Restructuring and CEO Transition Announcement — takeda.com/newsroom, 2026</w:t>
      </w:r>
    </w:p>
    <w:p>
      <w:pPr>
        <w:spacing w:before="20" w:after="20"/>
        <w:ind w:left="170"/>
      </w:pPr>
      <w:r>
        <w:rPr>
          <w:rFonts w:ascii="Calibri" w:hAnsi="Calibri"/>
          <w:b/>
          <w:color w:val="4A6B25"/>
          <w:sz w:val="15"/>
        </w:rPr>
        <w:t xml:space="preserve">3. </w:t>
      </w:r>
      <w:r>
        <w:rPr>
          <w:rFonts w:ascii="Calibri" w:hAnsi="Calibri"/>
          <w:b w:val="0"/>
          <w:color w:val="3A4A28"/>
          <w:sz w:val="17"/>
        </w:rPr>
        <w:t>Emerj — AI in Biopharma Innovation and Regulatory Challenges with Nishtha Jain of Takeda Pharmaceuticals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TAK Key Statistics and Financial Ratios,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Takeda Pharmaceuticals Employee Reviews (3,584 reviews),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