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TAP</w:t>
      </w:r>
      <w:r>
        <w:rPr>
          <w:rFonts w:ascii="Calibri" w:hAnsi="Calibri"/>
          <w:b/>
          <w:color w:val="1A2010"/>
          <w:sz w:val="40"/>
        </w:rPr>
        <w:t xml:space="preserve">  Molson Coors Beverage Company</w:t>
      </w:r>
    </w:p>
    <w:p>
      <w:pPr>
        <w:spacing w:after="120"/>
      </w:pPr>
      <w:r>
        <w:rPr>
          <w:rFonts w:ascii="Calibri" w:hAnsi="Calibri"/>
          <w:b/>
          <w:color w:val="6E8450"/>
          <w:sz w:val="18"/>
        </w:rPr>
        <w:t>DIVIDEND SLEEVE · 2026-07-08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Brewers · NYSE · United States</w:t>
      </w:r>
    </w:p>
    <w:p>
      <w:pPr>
        <w:spacing w:after="80"/>
      </w:pPr>
      <w:r>
        <w:rPr>
          <w:rFonts w:ascii="Calibri" w:hAnsi="Calibri"/>
          <w:b w:val="0"/>
          <w:color w:val="3A4A28"/>
          <w:sz w:val="20"/>
        </w:rPr>
        <w:t>Molson Coors manufactures, markets, and distributes beer and malt beverages across the Americas, Europe, Middle East, Africa, and Asia Pacific. Its portfolio includes Coors Light, Miller Lite, Blue Moon, Peroni Nastro Azzurro, and Staropramen, spanning premium, above-premium, and economy segments. Founded in 1774, the company is headquartered in Golden, Colorado. New CEO Rahul Goyal (since October 2025) is executing a $450M three-year cost savings program.</w:t>
      </w:r>
    </w:p>
    <w:p>
      <w:r>
        <w:rPr>
          <w:rFonts w:ascii="Calibri" w:hAnsi="Calibri"/>
          <w:b/>
          <w:color w:val="6E8450"/>
          <w:sz w:val="18"/>
        </w:rPr>
        <w:t>16,200 Employees · https://www.molsoncoors.com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Molson Coors rebranded from 'Brewing' to 'Beverage' in 2020, signaling diversification beyond beer into seltzers (Vizzy, Topo Chico Hard Seltzer), spirits (Blue Run), and non-alcoholic beverages (ZOA Energy), but the core beer business remains dominant and annual revenue declined to approximately $11B in FY2025 [1][2]. AI Deployment (0/2): No evidence of AI-powered products or quantified AI-driven cost savings in operations or marketing [3]. Market Share (1/2): Molson Coors holds the #2 position in U.S. beer behind AB InBev, with Coors Light and Miller Lite retaining share gains from the 2023 Bud Light controversy, though Q1 2026 brand volume declined 3.1% [2][3]. Pipeline (1/2): The $450M three-year cost savings program announced in 2026 and continued above-premium portfolio expansion provide operational visibility, but specific next-gen product launches with revenue forecasts are lacking [2]. R&amp;D Intensity (1/1): Maintains dedicated innovation team under SVP Scott Cooper with R&amp;D spending at or near industry average for brewers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Molson Coors' purpose — 'We brew beverages that unite people to celebrate all life's moments' — is clear and connects its products to human connection, but is not distinctive among beverage companies; it identifies what they do without articulating a deeper transformative purpose [4]. Community Impact (1/2): The company is a signatory to the UN Global Compact and CEO Water Mandate, with water conservation and GHG reduction targets, and maintains general corporate philanthropy programs, though no standout charitable initiatives with specific dollar amounts were cited [4]. Employee Retention (0/2): Glassdoor ratings show a 3.5/5 for culture and values and 3.2/5 for career opportunities, suggesting average-to-below-average organizational culture with no evidence of exceptional retention [3]. Insider Buying (1/2): New CEO Rahul Goyal brings deep institutional alignment as a 24-year Molson Coors veteran and former Chief Strategy Officer, but no evidence of meaningful net insider buying in the last 12 months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Molson Coors scores well on balance sheet and valuation metrics despite operational headwinds. D/E of 62% is below the 70% target, and forward P/E of 8.32x is deeply discounted versus peers and well below the 20x target [5]. Q1 2026 results showed underlying EPS of $0.62, up 24% YoY, demonstrating the cost savings program is delivering bottom-line results even as revenue remained flat at $2.35B [2]. The dividend profile is strong: 38+ consecutive years of payments, 5 consecutive years of growth since post-COVID reinstatement, a 4.93% yield with a manageable ~36% adjusted payout ratio, and a 5-year dividend growth CAGR of ~29% reflecting recovery from the 2020 suspension [5]. Key weaknesses: ROE is negative (-18.2%) due to $2.1B in goodwill impairment charges in FY2025, profit margins are negative (-19.2%), and revenue declined approximately 3% in FY2025 [1]. 5-year revenue CAGR is a modest 1.4%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Molson Coors shows mixed infinite game characteristics under new CEO Rahul Goyal. The company's 252-year heritage demonstrates extraordinary endurance, and the 2020 'Beverage' rebrand signals willingness to evolve beyond beer. However, the aggressive $450M cost-cutting program and finite language around 'tangible results' and 'urgency' suggest near-term earnings optimization over long-term capability building. Goyal's restructuring to enable 'bolder, quicker decision making' could represent either infinite flexibility or finite cost-cutting depending on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Molson Coors' purpose of 'brewing beverages that unite people' exists but is shallow — interchangeable with any beverage company and not meaningfully referenced in strategic decisions [4]. The 2020 rebrand from 'Brewing' to 'Beverage' was more about portfolio diversification than advancing a deeper cause. New CEO Goyal's communications focus on 'transform faster' and operational urgency rather than a vision of a better future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with no major cultural red flags. CEO Goyal is a 24-year Molson Coors veteran, providing institutional continuity despite being the third CEO in a decade [3]. Glassdoor ratings of 3.5/5 for culture and values suggest average employee sentiment. The organizational restructuring under Goyal — removing layers and reshuffling reporting lines — signals strategic urgency but could create short-term instability for the 16,200-employee organization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Molson Coors acknowledges AB InBev's scale, Constellation's premium positioning, and craft brewers' innovation as competitive pressures that drive its own portfolio evolution [1]. The company's above-premium strategy and non-alcoholic expansion demonstrate learning from rivals' strengths rather than zero-sum competitive destruction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2020 rebrand from 'Molson Coors Brewing' to 'Molson Coors Beverage' and expansion into seltzers, spirits, energy drinks, and non-alcoholic beverages represents incremental evolution in response to shifting consumer preferences [1]. The company has adapted its portfolio over 252 years, but the core business remains beer — this is evolutionary, not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$450M cost-savings program and organizational restructuring under new CEO Goyal show willingness to make difficult operational decisions [2]. Q1 2026 results demonstrate early execution — underlying EPS up 24% YoY — suggesting the program is producing tangible results. However, these are conventional cost-cutting measures, not courageous long-term bets, and the 2026 guidance for 11-15% underlying EPS decline frames this as a defensive 'reset year' rather than an investment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Molson Coors offers deep value at 8.32x forward P/E with a 4.93% dividend yield backed by 38+ consecutive years of payments [5]. Q1 2026 demonstrated that the $450M cost savings program is delivering: underlying EPS surged 24% YoY to $0.62 despite flat revenue and 3.1% volume declines, proving pricing power and cost discipline can drive bottom-line improvement [2]. The #2 U.S. beer position with Coors Light and Miller Lite provides defensive brand equity, and the above-premium portfolio expansion (Blue Moon, Peroni, ZOA Energy) positions the company for better revenue mix over time. New CEO Rahul Goyal brings 24 years of institutional knowledge and strategic continuity as former Chief Strategy Officer [3]. At current levels, investors are paying less than 9x underlying earnings for a stable, cash-generative beverage franchise.</w:t>
      </w:r>
    </w:p>
    <w:p>
      <w:pPr>
        <w:spacing w:after="120"/>
      </w:pPr>
      <w:r>
        <w:rPr>
          <w:rFonts w:ascii="Calibri" w:hAnsi="Calibri"/>
          <w:b w:val="0"/>
          <w:color w:val="3A4A28"/>
          <w:sz w:val="20"/>
        </w:rPr>
        <w:t>The bear case centers on deteriorating top-line fundamentals and structural industry headwinds. FY2025 revenue declined approximately 3% to ~$11B, and 2026 guidance calls for flat revenue with underlying EPS declining 11-15% due to commodity inflation and volume pressure [1][2]. The $2.1B goodwill impairment in FY2025 wiped out GAAP earnings and signals management's admission that prior acquisitions destroyed value. Q1 2026 brand volume declined 3.1%, reflecting the secular U.S. beer market decline as younger consumers shift toward spirits, cannabis, and moderation trends [2]. The debt load of $6.5B against $980M cash limits financial flexibility, and aluminum pricing headwinds create ongoing cost pressure. Three CEO changes in a decade raises questions about whether strategic continuity can be maintained under Goyal despite his deep tenure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$450M three-year cost savings program delivering early results — Q1 2026 underlying EPS up 24% YoY — with savings expected to accelerate through 2027-2028 [2]</w:t>
      </w:r>
    </w:p>
    <w:p>
      <w:pPr>
        <w:spacing w:before="40" w:after="40"/>
        <w:ind w:left="283"/>
      </w:pPr>
      <w:r>
        <w:rPr>
          <w:rFonts w:ascii="Calibri" w:hAnsi="Calibri"/>
          <w:b/>
          <w:color w:val="4A6B25"/>
          <w:sz w:val="20"/>
        </w:rPr>
        <w:t xml:space="preserve">2. </w:t>
      </w:r>
      <w:r>
        <w:rPr>
          <w:rFonts w:ascii="Calibri" w:hAnsi="Calibri"/>
          <w:b w:val="0"/>
          <w:color w:val="3A4A28"/>
          <w:sz w:val="20"/>
        </w:rPr>
        <w:t>Above-premium portfolio expansion (Blue Moon, Peroni, Topo Chico Hard Seltzer, ZOA Energy) driving revenue mix improvement toward higher-margin brands to offset economy segment volume declines [1]</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of 8.32x forward P/E with 4.93% dividend yield provides downside protection and income appeal for value investors in a volatile market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U.S. beer volume decline — Q1 2026 brand volume fell 3.1% — as consumers shift toward spirits, cannabis, non-alcoholic alternatives, and moderation, particularly impacting economy brands like Keystone and Milwaukee's Best [2]</w:t>
      </w:r>
    </w:p>
    <w:p>
      <w:pPr>
        <w:spacing w:before="40" w:after="40"/>
        <w:ind w:left="283"/>
      </w:pPr>
      <w:r>
        <w:rPr>
          <w:rFonts w:ascii="Calibri" w:hAnsi="Calibri"/>
          <w:b/>
          <w:color w:val="4A6B25"/>
          <w:sz w:val="20"/>
        </w:rPr>
        <w:t xml:space="preserve">2. </w:t>
      </w:r>
      <w:r>
        <w:rPr>
          <w:rFonts w:ascii="Calibri" w:hAnsi="Calibri"/>
          <w:b w:val="0"/>
          <w:color w:val="3A4A28"/>
          <w:sz w:val="20"/>
        </w:rPr>
        <w:t>Commodity inflation headwinds from aluminum pricing and agricultural inputs driving 2026 underlying EPS guidance of 11-15% decline despite cost savings program [1][2]</w:t>
      </w:r>
    </w:p>
    <w:p>
      <w:pPr>
        <w:spacing w:before="40" w:after="40"/>
        <w:ind w:left="283"/>
      </w:pPr>
      <w:r>
        <w:rPr>
          <w:rFonts w:ascii="Calibri" w:hAnsi="Calibri"/>
          <w:b/>
          <w:color w:val="4A6B25"/>
          <w:sz w:val="20"/>
        </w:rPr>
        <w:t xml:space="preserve">3. </w:t>
      </w:r>
      <w:r>
        <w:rPr>
          <w:rFonts w:ascii="Calibri" w:hAnsi="Calibri"/>
          <w:b w:val="0"/>
          <w:color w:val="3A4A28"/>
          <w:sz w:val="20"/>
        </w:rPr>
        <w:t>$6.5B debt load with $2.1B goodwill impairment in FY2025 signaling overpayment for past acquisitions, combined with negative GAAP ROE of -18.2%, limiting financial flexibility for growth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Brewing and distributing physical beverages is structurally immune to AI displacement — AI cannot replace the manufacturing, distribution, and retail of beer [1]. Molson Coors' core business involves physical-world operations (breweries, cold chain logistics, retail and bar relationships) that require no digital substitution defense. The brand equity of 250-year-old Coors and Miller franchises is not replicable by AI. Analysts express zero concern about AI disrupting the beer industry [3]. The regulated alcohol distribution system adds an additional structural moat that AI cannot bypass. AI Opportunity (0/1): No evidence of AI-generated revenue or AI-powered products; AI remains a potential back-office efficiency tool for supply chain optimization and demand forecasting but does not contribute to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Molson Coors Q4/FY2025 Earnings Release — ~$11B revenue, 2026 guidance for flat sales and 11-15% EPS decline, $450M cost savings program, February 2026</w:t>
      </w:r>
    </w:p>
    <w:p>
      <w:pPr>
        <w:spacing w:before="20" w:after="20"/>
        <w:ind w:left="170"/>
      </w:pPr>
      <w:r>
        <w:rPr>
          <w:rFonts w:ascii="Calibri" w:hAnsi="Calibri"/>
          <w:b/>
          <w:color w:val="4A6B25"/>
          <w:sz w:val="15"/>
        </w:rPr>
        <w:t xml:space="preserve">2. </w:t>
      </w:r>
      <w:r>
        <w:rPr>
          <w:rFonts w:ascii="Calibri" w:hAnsi="Calibri"/>
          <w:b w:val="0"/>
          <w:color w:val="3A4A28"/>
          <w:sz w:val="17"/>
        </w:rPr>
        <w:t>Molson Coors Q1 2026 Earnings Results — $2.35B revenue (flat), underlying EPS $0.62 (up 24%), net income $151.3M, brand volume -3.1%, May 2026</w:t>
      </w:r>
    </w:p>
    <w:p>
      <w:pPr>
        <w:spacing w:before="20" w:after="20"/>
        <w:ind w:left="170"/>
      </w:pPr>
      <w:r>
        <w:rPr>
          <w:rFonts w:ascii="Calibri" w:hAnsi="Calibri"/>
          <w:b/>
          <w:color w:val="4A6B25"/>
          <w:sz w:val="15"/>
        </w:rPr>
        <w:t xml:space="preserve">3. </w:t>
      </w:r>
      <w:r>
        <w:rPr>
          <w:rFonts w:ascii="Calibri" w:hAnsi="Calibri"/>
          <w:b w:val="0"/>
          <w:color w:val="3A4A28"/>
          <w:sz w:val="17"/>
        </w:rPr>
        <w:t>Molson Coors Leadership and Culture — CEO Rahul Goyal 24-year veteran, organizational restructuring, Glassdoor 3.5/5 culture rating, Food Dive/eMarketer coverage</w:t>
      </w:r>
    </w:p>
    <w:p>
      <w:pPr>
        <w:spacing w:before="20" w:after="20"/>
        <w:ind w:left="170"/>
      </w:pPr>
      <w:r>
        <w:rPr>
          <w:rFonts w:ascii="Calibri" w:hAnsi="Calibri"/>
          <w:b/>
          <w:color w:val="4A6B25"/>
          <w:sz w:val="15"/>
        </w:rPr>
        <w:t xml:space="preserve">4. </w:t>
      </w:r>
      <w:r>
        <w:rPr>
          <w:rFonts w:ascii="Calibri" w:hAnsi="Calibri"/>
          <w:b w:val="0"/>
          <w:color w:val="3A4A28"/>
          <w:sz w:val="17"/>
        </w:rPr>
        <w:t>Molson Coors Sustainability and ESG — S&amp;P Global ESG Score 47/100, UN Global Compact signatory, CEO Water Mandate, climate and water targets</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TAP financial statistics, forward PE 8.32, dividend yield 4.93%, D/E 62%,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