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TDC</w:t>
      </w:r>
      <w:r>
        <w:rPr>
          <w:rFonts w:ascii="Calibri" w:hAnsi="Calibri"/>
          <w:b/>
          <w:color w:val="1A2010"/>
          <w:sz w:val="40"/>
        </w:rPr>
        <w:t xml:space="preserve">  Teradata Corporation</w:t>
      </w:r>
    </w:p>
    <w:p>
      <w:pPr>
        <w:spacing w:after="120"/>
      </w:pPr>
      <w:r>
        <w:rPr>
          <w:rFonts w:ascii="Calibri" w:hAnsi="Calibri"/>
          <w:b/>
          <w:color w:val="6E8450"/>
          <w:sz w:val="18"/>
        </w:rPr>
        <w:t>GROWTH SLEEVE · 2026-07-21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Teradata Corporation provides cloud analytics and data platform solutions to enterprise customers worldwide. The company's Teradata VantageCloud platform enables organizations to connect and manage data across hybrid and multi-cloud environments, build AI and machine learning models, and derive actionable business insights at scale. Teradata serves large enterprises in financial services, healthcare, manufacturing, telecommunications, and government. Founded in 1979, headquartered in San Diego, California.</w:t>
      </w:r>
    </w:p>
    <w:p>
      <w:r>
        <w:rPr>
          <w:rFonts w:ascii="Calibri" w:hAnsi="Calibri"/>
          <w:b/>
          <w:color w:val="6E8450"/>
          <w:sz w:val="18"/>
        </w:rPr>
        <w:t>7,000 Employees · https://www.teradata.com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Teradata has been executing a multi-year cloud migration, shifting from on-premises data warehousing to its VantageCloud platform. Public cloud ARR grew 13% to $686M in Q1 2026, representing meaningful business model transformation [1]. However, total revenue has declined from $1.84B in 2020 to $1.66B in 2025, indicating the cloud transition is cannibalizing on-premises revenue faster than cloud revenue grows -- a migration, not an expansion [2]. AI Deployment (1/2): Teradata completed more than 150 enterprise AI engagements in 2025 across financial services, healthcare, manufacturing, and defense, helping organizations operationalize AI for fraud detection, compliance, customer analytics, and R&amp;D optimization [3]. However, no specific AI-driven revenue figures have been disclosed, making the impact difficult to quantify. Market Share (0/2): Teradata is a legacy data warehouse player that has been losing share to cloud-native competitors including Snowflake, Databricks, and cloud provider native offerings (AWS Redshift, Google BigQuery, Azure Synapse). While maintaining a niche among large enterprise analytics customers with complex workloads, the company is not a market share leader or fastest grower in the analytics platform category [2]. Product Pipeline (1/2): General R&amp;D activity around VantageCloud enhancements, AI/ML capabilities, and the 'autonomous enterprise' vision. The appointment of Josh Fecteau as combined CDAO/CIO in June 2026 signals strategic commitment to AI integration [4]. However, no specific next-generation products with quantified timelines or revenue visibility have been announced. R&amp;D Intensity (1/1): As a software company, Teradata's R&amp;D spending is at or near the industry average for enterprise software, consistent with maintaining competitive platform capabilities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'We transform how businesses work and people live through the power of data' is a clear statement that identifies what the company does (data transformation) and for whom (businesses and people), but it is not distinctive -- any data analytics company could credibly use this exact statement. Snowflake, Databricks, Palantir, and dozens of others make essentially identical claims. The mission does not articulate a deeper purpose or inspire beyond the obvious [6]. Community Impact (0/2): No evidence of distinctive charitable giving, community programs, or foundation activity was found in public materials or search results. Employee Retention (0/2): Multiple rounds of layoffs in 2025-2026, with the company cutting 9-10% of its global workforce (~700-800 positions) to achieve $75-80M in operating expense savings [5]. Employee discussions on forums reference additional anticipated layoff rounds in mid-2026. This is a negative signal for organizational stability and retention, not a neutral absence of data. Insider Buying (0/2): Net insider selling dominates recent activity. Chief Product Officer Sumeet Arora sold 15,000 shares in May 2026, and Chief Revenue Officer Richard Petley sold 17,227 shares in June 2026 at ~$35/share, both under pre-planned 10b5-1 trading plans [6]. No insider buying was identified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Note: TTM earnings are significantly inflated by a major SAP legal settlement in Q1 2026, boosting reported profit margin to 24.93% and ROE to 117.76% -- these figures are not representative of normalized earning power [1]. Excluding the settlement, FY2025 earnings were $130M on $1.663B revenue, implying a ~7.8% normalized profit margin. However, the mechanical scoring algorithm uses reported metrics as-is. Forward P/E of 13.06 scores a perfect 1.0, reflecting reasonable valuation for a software company. D/E of 99.28% is between the 70% target and 300% floor. Revenue has been in secular decline, with FY2025 down 5.0% YoY and the 5-year CAGR at -2.0%, earning weak scores on both growth metrics [2]. The company does not pay a dividend and PEG ratio was unavailable, so Forward PEG was excluded from the calculation.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Teradata exhibits predominantly finite game characteristics. The company's recent strategic decisions -- 9-10% workforce reduction, revenue declining for multiple years, and reactive cloud migration under competitive pressure -- reflect a company playing to survive this quarter rather than playing to keep playing. The leadership is optimizing for short-term profitability (non-GAAP EPS guidance, cost cuts) rather than investing boldly in long-term capability. The revolving door of strategic pivots (on-prem to cloud to AI) without a clear Just Cause connecting them suggests financial optimization rather than purpose-driven transformation.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'We transform how businesses work and people live through the power of data' is a generic cause that functions more as marketing copy than a Just Cause. It does not describe a future state so appealing that people will sacrifice to advance it. The pivot from 'data analytics leader' to 'AI-enabled autonomous enterprise' appears reactive to market trends rather than driven by a deeply held purpose [6]. Teradata has existed since 1979 but has not maintained a consistent purpose that has survived leadership transitions and market disruptions -- the company's identity has repeatedly shifted in response to competitive pressure.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9-10% global workforce reduction announced in 2025-2026 ($75-80M in savings) creates a low-trust environment [5]. Employee discussions on job forums reference anxiety about additional layoff rounds in mid-2026. This is not the first round of layoffs -- Teradata has had multiple restructuring cycles over the past decade. Repeated layoffs fundamentally undermine psychological safety, as employees spend energy protecting themselves rather than advancing the company's mission. Leadership continuity exists at the top (CEO level), but organizational instability is evident throughout the broader workforce.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Teradata's competitive positioning focuses on defending its enterprise customer base against Snowflake and Databricks rather than learning from their strengths. The company's language emphasizes its advantages ('performance at scale,' 'governance,' 'hybrid-cloud flexibility') as defenses against competitors, not as areas where rivals push Teradata to improve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cloud migration from on-premises data warehousing to VantageCloud represents meaningful business model evolution, with cloud ARR reaching $686M and growing 13% YoY [1]. This required cannibalizing profitable on-premises license revenue. The current AI integration push represents further adaptation. However, these pivots were driven by competitive necessity (customers migrating to cloud-native platforms) rather than proactive reinvention in service of a Just Cause. The transformation has been gradual and reactive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cannibalize on-premises revenue for cloud migration required some courage -- it meant accepting declining total revenue in the short term while building cloud ARR. Management has also invested in AI capabilities through 150+ enterprise engagements [3]. However, these decisions were made under competitive duress (customers were leaving for cloud-native alternatives), and the concurrent 9-10% workforce reduction suggests cost optimization is prioritized over long-term capability building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Teradata delivered a strong Q1 2026 with EPS of $0.88 (beating consensus by 20.55%), driven by recurring revenue momentum and a major SAP legal settlement [1]. Public cloud ARR of $686M growing 13% YoY demonstrates the cloud migration is gaining traction, while total ARR of $1.492B grew 3% [1]. The forward P/E of 13.06 and trailing P/E of 7.78 (inflated by the SAP settlement) suggest inexpensive valuation for a software company with 150+ enterprise AI engagements and a pivot toward AI-enabled analytics [3]. With $234M in pro-forma cash and expected full-year non-GAAP EPS of $2.55-$2.65, the company has financial stability to complete its cloud transition. All 9 covering analysts rate the stock Strong Buy with a median $15.50 price target implying 179% upside from current levels [5].</w:t>
      </w:r>
    </w:p>
    <w:p>
      <w:pPr>
        <w:spacing w:after="120"/>
      </w:pPr>
      <w:r>
        <w:rPr>
          <w:rFonts w:ascii="Calibri" w:hAnsi="Calibri"/>
          <w:b w:val="0"/>
          <w:color w:val="3A4A28"/>
          <w:sz w:val="20"/>
        </w:rPr>
        <w:t>The fundamental challenge is that Teradata is a legacy data analytics company in secular revenue decline -- revenue has fallen from $1.84B in 2020 to $1.66B in 2025, a -2.0% 5-year CAGR [2]. The 2026 guidance of -2% to flat YoY revenue signals the decline has not yet inflected. Cloud-native competitors Snowflake and Databricks are building AI-native platforms that increasingly serve the same large enterprise customers, and public cloud providers are embedding analytics directly into their infrastructure. The 9-10% workforce reduction and multiple restructuring cycles create organizational instability that undermines the company's ability to innovate its way out of decline [5]. While the trailing P/E of 7.78 appears cheap, it is artificially depressed by the one-time SAP settlement; normalized earnings suggest the company is more modestly valued. The high analyst price targets reflect speculative upside from a turnaround thesis that has not yet materialized in revenue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Public cloud ARR acceleration from 13% to 15%+ growth driven by AI-enabled analytics demand and large enterprise cloud migrations, which would signal the revenue decline inflection point</w:t>
      </w:r>
    </w:p>
    <w:p>
      <w:pPr>
        <w:spacing w:before="40" w:after="40"/>
        <w:ind w:left="283"/>
      </w:pPr>
      <w:r>
        <w:rPr>
          <w:rFonts w:ascii="Calibri" w:hAnsi="Calibri"/>
          <w:b/>
          <w:color w:val="4A6B25"/>
          <w:sz w:val="20"/>
        </w:rPr>
        <w:t xml:space="preserve">2. </w:t>
      </w:r>
      <w:r>
        <w:rPr>
          <w:rFonts w:ascii="Calibri" w:hAnsi="Calibri"/>
          <w:b w:val="0"/>
          <w:color w:val="3A4A28"/>
          <w:sz w:val="20"/>
        </w:rPr>
        <w:t>Monetization of 150+ enterprise AI engagements into recurring cloud ARR as customers operationalize AI workloads on VantageCloud, potentially validating the 'autonomous enterprise' positioning</w:t>
      </w:r>
    </w:p>
    <w:p>
      <w:pPr>
        <w:spacing w:before="40" w:after="40"/>
        <w:ind w:left="283"/>
      </w:pPr>
      <w:r>
        <w:rPr>
          <w:rFonts w:ascii="Calibri" w:hAnsi="Calibri"/>
          <w:b/>
          <w:color w:val="4A6B25"/>
          <w:sz w:val="20"/>
        </w:rPr>
        <w:t xml:space="preserve">3. </w:t>
      </w:r>
      <w:r>
        <w:rPr>
          <w:rFonts w:ascii="Calibri" w:hAnsi="Calibri"/>
          <w:b w:val="0"/>
          <w:color w:val="3A4A28"/>
          <w:sz w:val="20"/>
        </w:rPr>
        <w:t>Strategic combination or takeout -- at a $2.5B market cap with $1.5B in ARR and deep enterprise relationships, Teradata is a potential acquisition target for a larger cloud/data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revenue decline from $1.84B (2020) to $1.66B (2025) has not inflected, and 2026 guidance of -2% to flat suggests the cloud transition is not generating net new growth -- just slowing the decline</w:t>
      </w:r>
    </w:p>
    <w:p>
      <w:pPr>
        <w:spacing w:before="40" w:after="40"/>
        <w:ind w:left="283"/>
      </w:pPr>
      <w:r>
        <w:rPr>
          <w:rFonts w:ascii="Calibri" w:hAnsi="Calibri"/>
          <w:b/>
          <w:color w:val="4A6B25"/>
          <w:sz w:val="20"/>
        </w:rPr>
        <w:t xml:space="preserve">2. </w:t>
      </w:r>
      <w:r>
        <w:rPr>
          <w:rFonts w:ascii="Calibri" w:hAnsi="Calibri"/>
          <w:b w:val="0"/>
          <w:color w:val="3A4A28"/>
          <w:sz w:val="20"/>
        </w:rPr>
        <w:t>Snowflake, Databricks, and cloud-native provider offerings are building AI-integrated analytics platforms that could accelerate customer migration away from Teradata's hybrid approach</w:t>
      </w:r>
    </w:p>
    <w:p>
      <w:pPr>
        <w:spacing w:before="40" w:after="40"/>
        <w:ind w:left="283"/>
      </w:pPr>
      <w:r>
        <w:rPr>
          <w:rFonts w:ascii="Calibri" w:hAnsi="Calibri"/>
          <w:b/>
          <w:color w:val="4A6B25"/>
          <w:sz w:val="20"/>
        </w:rPr>
        <w:t xml:space="preserve">3. </w:t>
      </w:r>
      <w:r>
        <w:rPr>
          <w:rFonts w:ascii="Calibri" w:hAnsi="Calibri"/>
          <w:b w:val="0"/>
          <w:color w:val="3A4A28"/>
          <w:sz w:val="20"/>
        </w:rPr>
        <w:t>Repeated workforce reductions (9-10% in 2025-2026) create organizational instability and brain drain, potentially undermining the company's ability to execute its AI and cloud innovation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Teradata occupies an exposed position in the AI landscape. The company's core data analytics and warehousing platform faces substitution risk from AI-native competitors: Snowflake and Databricks are building AI-native analytics platforms, and cloud providers' native offerings (AWS, Google, Azure) are integrating AI capabilities directly into their data services, potentially reducing the need for a third-party platform like Teradata [2]. Traditional SQL-based analytics queries -- a core Teradata use case -- are increasingly being automated or augmented by AI-powered analytics tools. However, Teradata's large enterprise customers have deep switching costs (petabyte-scale data migrations are complex and risky), and complex analytical workloads in regulated industries still require the performance and governance capabilities that Teradata's mature platform provides. The company is adapting by integrating AI capabilities into VantageCloud and completing 150+ AI engagements [3], but the competitive outcome remains uncertain. AI Opportunity (1/1): Teradata generates quantifiable AI-related revenue through its 150+ enterprise AI engagements and AI-enabled VantageCloud platform features. While specific AI revenue figures are not broken out, the company's cloud ARR growth of 13% to $686M is partially driven by AI-related demand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Teradata Q1 2026 Earnings Release -- EPS $0.88 beating $0.73 consensus, ARR $1.492B, cloud ARR $686M, SAP settlement, May 2026</w:t>
      </w:r>
    </w:p>
    <w:p>
      <w:pPr>
        <w:spacing w:before="20" w:after="20"/>
        <w:ind w:left="170"/>
      </w:pPr>
      <w:r>
        <w:rPr>
          <w:rFonts w:ascii="Calibri" w:hAnsi="Calibri"/>
          <w:b/>
          <w:color w:val="4A6B25"/>
          <w:sz w:val="15"/>
        </w:rPr>
        <w:t xml:space="preserve">2. </w:t>
      </w:r>
      <w:r>
        <w:rPr>
          <w:rFonts w:ascii="Calibri" w:hAnsi="Calibri"/>
          <w:b w:val="0"/>
          <w:color w:val="3A4A28"/>
          <w:sz w:val="17"/>
        </w:rPr>
        <w:t>Teradata FY2025 Annual Results -- Revenue $1.663B, down 5.0% YoY, earnings $130M, February 2026</w:t>
      </w:r>
    </w:p>
    <w:p>
      <w:pPr>
        <w:spacing w:before="20" w:after="20"/>
        <w:ind w:left="170"/>
      </w:pPr>
      <w:r>
        <w:rPr>
          <w:rFonts w:ascii="Calibri" w:hAnsi="Calibri"/>
          <w:b/>
          <w:color w:val="4A6B25"/>
          <w:sz w:val="15"/>
        </w:rPr>
        <w:t xml:space="preserve">3. </w:t>
      </w:r>
      <w:r>
        <w:rPr>
          <w:rFonts w:ascii="Calibri" w:hAnsi="Calibri"/>
          <w:b w:val="0"/>
          <w:color w:val="3A4A28"/>
          <w:sz w:val="17"/>
        </w:rPr>
        <w:t>Teradata AI Innovation Press Release -- 150+ enterprise AI engagements in 2025 across financial services, healthcare, manufacturing, defense</w:t>
      </w:r>
    </w:p>
    <w:p>
      <w:pPr>
        <w:spacing w:before="20" w:after="20"/>
        <w:ind w:left="170"/>
      </w:pPr>
      <w:r>
        <w:rPr>
          <w:rFonts w:ascii="Calibri" w:hAnsi="Calibri"/>
          <w:b/>
          <w:color w:val="4A6B25"/>
          <w:sz w:val="15"/>
        </w:rPr>
        <w:t xml:space="preserve">4. </w:t>
      </w:r>
      <w:r>
        <w:rPr>
          <w:rFonts w:ascii="Calibri" w:hAnsi="Calibri"/>
          <w:b w:val="0"/>
          <w:color w:val="3A4A28"/>
          <w:sz w:val="17"/>
        </w:rPr>
        <w:t>Teradata Josh Fecteau Appointment as CDAO/CIO -- Unifying data, AI, and technology leadership, June 2026</w:t>
      </w:r>
    </w:p>
    <w:p>
      <w:pPr>
        <w:spacing w:before="20" w:after="20"/>
        <w:ind w:left="170"/>
      </w:pPr>
      <w:r>
        <w:rPr>
          <w:rFonts w:ascii="Calibri" w:hAnsi="Calibri"/>
          <w:b/>
          <w:color w:val="4A6B25"/>
          <w:sz w:val="15"/>
        </w:rPr>
        <w:t xml:space="preserve">5. </w:t>
      </w:r>
      <w:r>
        <w:rPr>
          <w:rFonts w:ascii="Calibri" w:hAnsi="Calibri"/>
          <w:b w:val="0"/>
          <w:color w:val="3A4A28"/>
          <w:sz w:val="17"/>
        </w:rPr>
        <w:t>Teradata Workforce Reduction and 2026 Guidance -- 9-10% global workforce cuts, EPS guidance $2.55-$2.65, analyst consensus</w:t>
      </w:r>
    </w:p>
    <w:p>
      <w:pPr>
        <w:spacing w:before="20" w:after="20"/>
        <w:ind w:left="170"/>
      </w:pPr>
      <w:r>
        <w:rPr>
          <w:rFonts w:ascii="Calibri" w:hAnsi="Calibri"/>
          <w:b/>
          <w:color w:val="4A6B25"/>
          <w:sz w:val="15"/>
        </w:rPr>
        <w:t xml:space="preserve">6. </w:t>
      </w:r>
      <w:r>
        <w:rPr>
          <w:rFonts w:ascii="Calibri" w:hAnsi="Calibri"/>
          <w:b w:val="0"/>
          <w:color w:val="3A4A28"/>
          <w:sz w:val="17"/>
        </w:rPr>
        <w:t>StockAnalysis.com / Yahoo Finance -- TDC Key Statistics (PE 7.78, Forward PE 13.06, D/E 99.28%, ROE 117.76%),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