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TDIC</w:t>
      </w:r>
      <w:r>
        <w:rPr>
          <w:rFonts w:ascii="Calibri" w:hAnsi="Calibri"/>
          <w:b/>
          <w:color w:val="1A2010"/>
          <w:sz w:val="40"/>
        </w:rPr>
        <w:t xml:space="preserve">  Dreamland Limited</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Hong Kong</w:t>
      </w:r>
    </w:p>
    <w:p>
      <w:pPr>
        <w:spacing w:after="80"/>
      </w:pPr>
      <w:r>
        <w:rPr>
          <w:rFonts w:ascii="Calibri" w:hAnsi="Calibri"/>
          <w:b w:val="0"/>
          <w:color w:val="3A4A28"/>
          <w:sz w:val="20"/>
        </w:rPr>
        <w:t>Dreamland Limited provides event management services in Hong Kong, including trade shows, conferences, concerts, exhibitions, charity galas, and brand promotion events. The company also organizes themed touring walk-through experience events for IP owners, designs and sells merchandise, and operates pop-up stores. Founded in 2016, IPO'd on Nasdaq in July 2025. Completed a 1-for-25 reverse stock split on June 15, 2026.</w:t>
      </w:r>
    </w:p>
    <w:p>
      <w:r>
        <w:rPr>
          <w:rFonts w:ascii="Calibri" w:hAnsi="Calibri"/>
          <w:b/>
          <w:color w:val="6E8450"/>
          <w:sz w:val="18"/>
        </w:rPr>
        <w:t>12 Employees · https://www.trendicint.com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grew ~15% YoY to HKD 54.75M TTM, but the business model remains fundamentally unchanged — event management services in Hong Kong with no transformative product launches or successful pivots since its July 2025 IPO [1][5]. The company raised $3.4M through a follow-on offering in April 2026, signaling capital needs over organic growth [3]. AI Deployment (0/2): The May 2026 MoU with LinkFung Innovation to explore an AI-powered intelligent image library platform with real-time face detection and automated tagging is non-binding and pre-development — no AI products are shipping and no cost savings have been quantified [2]. Market Share (0/2): Dreamland remains a micro-cap ($9.31M market cap) event management firm in Hong Kong with no discernible market share leadership in any category [1]. Pipeline (1/2): The LinkFung AI image library MoU outlines specific capabilities — real-time face detection, automated tagging, AI search, scalable cloud infrastructure — with a planned 12-month development timeline, but the MoU is non-binding with no assurance of execution [2]. R&amp;D Intensity (0/1): With 12 employees and minimal internal R&amp;D capability, the AI initiative is a partnership reliance rather than internal investment; R&amp;D intensity is below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Dreamland's purpose is generic — providing event management and experiential entertainment — with no articulated deeper cause or vision beyond commercial event operations [5]. Community Impact (1/2): The company organizes charity galas and brand promotion events, providing some community engagement through experiential entertainment in Hong Kong, but no specific charitable programs or dollar amounts are cited [5]. Employee Retention (0/2): With only 12 employees, a 1:25 reverse stock split to avoid delisting, and 99.5% stock price decline over 12 months, there is no evidence of a stable, mission-driven workforce [3][4]. Insider Buying (0/2): No evidence of meaningful insider buying; the company completed a follow-on offering and $18M equity purchase agreement with Hudson Global Ventures, indicating dilution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Following the 1:25 reverse stock split on June 15, 2026, post-split average daily volume of approximately 150,000 shares at $2.67 yields daily traded value of ~$400K, well below the $1M liquidity threshold [4]. Infrastructure score is automatically set to 0. Underlying fundamentals are poor regardless: profit margin of -60.8%, ROE of -182.6%, and negative operating cash flow of HKD -33.1M [1]. Cash reserves have declined from HKD 27.6M to HKD 10.5M while the company posted a net loss of HKD 33.3M. The sole positive is low absolute debt (HKD 9.4M), but equity has eroded substantially. Forward P/E and PEG are unavailable due to lack of earnings estimates. The 1:25 reverse split regained Nasdaq minimum bid compliance, but the stock has lost 99.5% of its value over 12 months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Dreamland operates as a finite player focused on short-term survival through its 1:25 reverse stock split, follow-on offerings for capital, and non-binding AI MoU to attract momentum traders. The 99.5% stock decline over 12 months, serial dilution through the Hudson Global Ventures equity line, and minimal operational progress suggest a company navigating existential crisis rather than playing for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Dreamland's purpose — creating experiential entertainment through IP-based events — is a commercial objective rather than a Just Cause [5]. There is no articulated vision of a future state worth sacrificing for. The AI image library MoU appears strategically opportunistic (stock surged 59% on announcement) rather than mission-driven [2]. The company exists to generate shareholder returns through event management, which is a finite objective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 employees, a 99.5% stock price collapse, serial dilution through equity lines and follow-on offerings, and a 1:25 reverse stock split, organizational trust and stability appear severely compromised [3][4]. The company regained Nasdaq compliance but faces ongoing governance and operational concerns. No evidence of employee empowerment or stable culture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Dreamland acknowledging worthy rivals or using competitive pressure as motivation for self-improvement [5]. The AI MoU and event management positioning focus on the company's own initiatives without reference to competitive learning or industry peers. Finite competitive mindset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event management to exploring AI-powered technology through the LinkFung image library MoU represents strategic flexibility, and the company continues expanding from event planning to event organizing, investing, and merchandise operations [2][5]. However, these initiatives remain non-binding and aspirational rather than executed transformations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1:25 reverse stock split and follow-on offering were survival necessities, not courageous strategic choices [4]. The non-binding AI MoU that triggered a 59% stock surge appears designed to generate market excitement rather than build long-term capability. No evidence of leadership sacrificing short-term results for long-term value creation [2][3]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Dreamland Limited is a micro-cap Hong Kong event management company that has experienced near-total value destruction since its July 2025 IPO, with the stock declining 99.5% over 12 months [3]. Revenue continues to grow modestly at ~15% YoY to HKD 54.75M TTM, and the company holds net cash (HKD 10.5M cash vs HKD 9.4M debt) [1]. The May 2026 MoU with LinkFung Innovation for an AI-powered intelligent image library platform — featuring real-time face detection, automated tagging, and AI search — represents a potential strategic evolution beyond event management [2]. The $3.4M follow-on offering and $18M Hudson Global Ventures equity line provide short-term capital runway.</w:t>
      </w:r>
    </w:p>
    <w:p>
      <w:pPr>
        <w:spacing w:after="120"/>
      </w:pPr>
      <w:r>
        <w:rPr>
          <w:rFonts w:ascii="Calibri" w:hAnsi="Calibri"/>
          <w:b w:val="0"/>
          <w:color w:val="3A4A28"/>
          <w:sz w:val="20"/>
        </w:rPr>
        <w:t>The bear case is overwhelming and multifaceted. The 1:25 reverse stock split on June 15, 2026, was a Nasdaq survival mechanism, not a sign of strength [4]. GAAP net loss of HKD 33.3M against HKD 54.75M revenue yields a -60.8% profit margin, and cash reserves have declined from HKD 27.6M to HKD 10.5M, suggesting the company could burn through remaining capital within 6-12 months [1]. ROE of -182.6% reflects deeply unprofitable operations. The AI MoU is non-binding with no assurance of execution, and the 59% stock surge on the announcement suggests market manipulation risk [2]. Serial dilution through equity lines and follow-on offerings will continue eroding per-share value. With a $9.31M market cap, 12 employees, and no path to profitability, this is a speculative micro-cap with existential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LinkFung AI image library platform MoU into a binding service agreement with revenue potential, transforming Dreamland from event management to AI-tech hybrid [2]</w:t>
      </w:r>
    </w:p>
    <w:p>
      <w:pPr>
        <w:spacing w:before="40" w:after="40"/>
        <w:ind w:left="283"/>
      </w:pPr>
      <w:r>
        <w:rPr>
          <w:rFonts w:ascii="Calibri" w:hAnsi="Calibri"/>
          <w:b/>
          <w:color w:val="4A6B25"/>
          <w:sz w:val="20"/>
        </w:rPr>
        <w:t xml:space="preserve">2. </w:t>
      </w:r>
      <w:r>
        <w:rPr>
          <w:rFonts w:ascii="Calibri" w:hAnsi="Calibri"/>
          <w:b w:val="0"/>
          <w:color w:val="3A4A28"/>
          <w:sz w:val="20"/>
        </w:rPr>
        <w:t>Return to profitability as IPO-related and stock-based compensation expenses normalize, though GAAP breakeven timeline remains unclear [1]</w:t>
      </w:r>
    </w:p>
    <w:p>
      <w:pPr>
        <w:spacing w:before="40" w:after="40"/>
        <w:ind w:left="283"/>
      </w:pPr>
      <w:r>
        <w:rPr>
          <w:rFonts w:ascii="Calibri" w:hAnsi="Calibri"/>
          <w:b/>
          <w:color w:val="4A6B25"/>
          <w:sz w:val="20"/>
        </w:rPr>
        <w:t xml:space="preserve">3. </w:t>
      </w:r>
      <w:r>
        <w:rPr>
          <w:rFonts w:ascii="Calibri" w:hAnsi="Calibri"/>
          <w:b w:val="0"/>
          <w:color w:val="3A4A28"/>
          <w:sz w:val="20"/>
        </w:rPr>
        <w:t>Maintained Nasdaq compliance post-reverse split, preserving access to U.S. capital markets and avoiding delisting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capital risk — HKD 10.5M cash with HKD 33.1M annual operating cash burn implies less than 4 months of runway without additional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Serial dilution through $18M Hudson Global Ventures equity line and follow-on offerings will continue destroying per-share value as the company funds operations through stock issuance [3]</w:t>
      </w:r>
    </w:p>
    <w:p>
      <w:pPr>
        <w:spacing w:before="40" w:after="40"/>
        <w:ind w:left="283"/>
      </w:pPr>
      <w:r>
        <w:rPr>
          <w:rFonts w:ascii="Calibri" w:hAnsi="Calibri"/>
          <w:b/>
          <w:color w:val="4A6B25"/>
          <w:sz w:val="20"/>
        </w:rPr>
        <w:t xml:space="preserve">3. </w:t>
      </w:r>
      <w:r>
        <w:rPr>
          <w:rFonts w:ascii="Calibri" w:hAnsi="Calibri"/>
          <w:b w:val="0"/>
          <w:color w:val="3A4A28"/>
          <w:sz w:val="20"/>
        </w:rPr>
        <w:t>Non-binding AI MoU creates headline risk — the 59% stock surge on announcement is unsustainable if the project fails to materialize, potentially triggering retail investor losses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Event management is a physical-world, relationship-intensive business — organizing concerts, trade shows, and experiential events requires venue logistics, talent coordination, and on-the-ground execution that AI cannot substitute [5]. However, AI-generated content, virtual event platforms, and automated marketing could lower barriers to entry and enable competitors to scale with fewer staff. The company's small size (12 employees) means AI productivity tools could benefit Dreamland operationally, but the broader event industry faces moderate disruption risk as virtual experiences improve [2]. AI Opportunity (0/1): The LinkFung MoU for an AI-powered intelligent image library platform is non-binding and pre-development — no AI revenue is being generated and no specific revenue figures can be cited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TDIC financial data, revenue $7.04M TTM (HKD 54.75M), market cap $9.31M, book value, balance sheet, July 2026</w:t>
      </w:r>
    </w:p>
    <w:p>
      <w:pPr>
        <w:spacing w:before="20" w:after="20"/>
        <w:ind w:left="170"/>
      </w:pPr>
      <w:r>
        <w:rPr>
          <w:rFonts w:ascii="Calibri" w:hAnsi="Calibri"/>
          <w:b/>
          <w:color w:val="4A6B25"/>
          <w:sz w:val="15"/>
        </w:rPr>
        <w:t xml:space="preserve">2. </w:t>
      </w:r>
      <w:r>
        <w:rPr>
          <w:rFonts w:ascii="Calibri" w:hAnsi="Calibri"/>
          <w:b w:val="0"/>
          <w:color w:val="3A4A28"/>
          <w:sz w:val="17"/>
        </w:rPr>
        <w:t>Quiver Quantitative / MarketScreener — Dreamland-LinkFung AI Image Library MoU, real-time face detection, automated tagging, 12-month project timeline, May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TDIC stock data, $3.4M follow-on offering April 2026, Nasdaq compliance regained, $18M Hudson Global Ventures equity line, July 2026</w:t>
      </w:r>
    </w:p>
    <w:p>
      <w:pPr>
        <w:spacing w:before="20" w:after="20"/>
        <w:ind w:left="170"/>
      </w:pPr>
      <w:r>
        <w:rPr>
          <w:rFonts w:ascii="Calibri" w:hAnsi="Calibri"/>
          <w:b/>
          <w:color w:val="4A6B25"/>
          <w:sz w:val="15"/>
        </w:rPr>
        <w:t xml:space="preserve">4. </w:t>
      </w:r>
      <w:r>
        <w:rPr>
          <w:rFonts w:ascii="Calibri" w:hAnsi="Calibri"/>
          <w:b w:val="0"/>
          <w:color w:val="3A4A28"/>
          <w:sz w:val="17"/>
        </w:rPr>
        <w:t>TipRanks / Nasdaq — Dreamland 1:25 reverse stock split effective June 15, 2026, share count reduced from 37.7M to ~1.5M ordinary shares</w:t>
      </w:r>
    </w:p>
    <w:p>
      <w:pPr>
        <w:spacing w:before="20" w:after="20"/>
        <w:ind w:left="170"/>
      </w:pPr>
      <w:r>
        <w:rPr>
          <w:rFonts w:ascii="Calibri" w:hAnsi="Calibri"/>
          <w:b/>
          <w:color w:val="4A6B25"/>
          <w:sz w:val="15"/>
        </w:rPr>
        <w:t xml:space="preserve">5. </w:t>
      </w:r>
      <w:r>
        <w:rPr>
          <w:rFonts w:ascii="Calibri" w:hAnsi="Calibri"/>
          <w:b w:val="0"/>
          <w:color w:val="3A4A28"/>
          <w:sz w:val="17"/>
        </w:rPr>
        <w:t>Dreamland H1 FY2026 Interim Results — HKD 40.0M revenue (29% YoY growth), HKD 37.0M net loss, HKD 10.5M cash</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