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w:t>
      </w:r>
      <w:r>
        <w:rPr>
          <w:rFonts w:ascii="Calibri" w:hAnsi="Calibri"/>
          <w:b/>
          <w:color w:val="1A2010"/>
          <w:sz w:val="40"/>
        </w:rPr>
        <w:t xml:space="preserve">  The Toronto-Dominion Bank</w:t>
      </w:r>
    </w:p>
    <w:p>
      <w:pPr>
        <w:spacing w:after="120"/>
      </w:pPr>
      <w:r>
        <w:rPr>
          <w:rFonts w:ascii="Calibri" w:hAnsi="Calibri"/>
          <w:b/>
          <w:color w:val="6E8450"/>
          <w:sz w:val="18"/>
        </w:rPr>
        <w:t>DIVIDEND SLEEVE · 2026-07-14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Toronto-Dominion Bank is a North American financial institution providing retail and commercial banking, wealth management, and wholesale banking services. Operating through approximately 2,200 branches across Canada and 1,100+ U.S. retail locations, TD ranks as the 10th largest bank in the United States by assets and one of Canada's Big Six banks. Headquartered in Toronto, Ontario.</w:t>
      </w:r>
    </w:p>
    <w:p>
      <w:r>
        <w:rPr>
          <w:rFonts w:ascii="Calibri" w:hAnsi="Calibri"/>
          <w:b/>
          <w:color w:val="6E8450"/>
          <w:sz w:val="18"/>
        </w:rPr>
        <w:t>95,000 Employees · https://www.td.com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TD acquired AI research lab Layer 6 in 2018 and won BIG Innovation Awards for five consecutive years (2022-2026), but these represent incremental technology adoption within a traditional banking model rather than transformative business pivots [5]. No new product categories or business model transformations. AI Deployment (2/2): TD has deployed nearly 100 distinct AI use cases across the organization, launched the TD AI Prism predictive foundation model in June 2025 (analyzes customer portfolios from multiple angles simultaneously), and rolled out GenAI virtual assistants to 40,000+ colleagues. The TD AI Platform (TAP) reduced time to market for certain capabilities by up to 85% [5]. These are specific, measurable results. Market Share (1/2): TD is the 10th largest bank in the U.S. by assets and a top Canadian bank, but is not the category leader or fastest share gainer — market position was constrained by the OCC-imposed U.S. asset cap following the AML settlement [4]. Product Pipeline (0/2): No specific next-generation products with launch dates disclosed. R&amp;D Intensity (1/1): 150+ patents filed, dedicated AI R&amp;D center (Layer 6) with a new New York City office — above-average technology investment relative to banking peers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TD's articulated purpose centers on being a customer-focused bank, but new CEO Ray Chun's three pillars — 'accountability, curiosity, and courage' — are operational values, not an aspirational Just Cause [3]. His stated priority of 'getting back to winning' frames the bank's purpose in finite, competitive terms. The $3.09B AML penalty revealed that the organization prioritized cost savings over compliance integrity, contradicting any stated purpose. Community Impact (1/2): TD has historically invested in community reinvestment programs and was recognized by Euromoney as Best Bank for Corporate Responsibility in North America (2023), but the AML failures — facilitating $670M+ in money laundering from three criminal networks — severely undermine community trust claims [4]. Employee Retention (1/2): TD has been a generally stable employer across 95,000 employees, but CEO Chun's investor day emphasis on needing to 'revamp culture' and 'hold employees accountable' implies existing cultural deficiencies. Leadership continuity has been maintained through orderly CEO transitions.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core and dividend metrics. TD posted record Q1 FY2026 earnings of $4.0B (up 45% YoY) with 11% revenue growth and ROE improving to 14.2%, followed by Q2 EPS growth of 21% with ROE of 14.4% [1][2]. Forward P/E of 16.98 and profit margin of 25.19% both score strongly. D/E of approximately 360% scores 0 due to the 300% floor, but this is structurally inherent to banking (deposits classified as liabilities) rather than indicative of financial distress. Revenue growth of 11% YoY exceeds the 10% target, and 5yr CAGR of approximately 5% scores partially. Dividend metrics are solid: 2.57% yield, 49.82% payout ratio, 19+ consecutive years of payment, 13 consecutive years of growth, and 4.57% 5-year dividend growth CAGR (below the 6% target) [6]. Liquidity: 2,826,994 avg volume x $120.63 = $341.1M.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TD Bank's infinite game score is severely impacted by the $3.09B AML penalty — the largest BSA fine in U.S. history — which revealed systemic failures where 92% of transaction volume ($18.3 trillion) went unmonitored from 2018-2024 [4]. This is the antithesis of infinite game thinking: the organization systematically chose short-term cost savings over long-term compliance integrity, enabling criminal money laundering networks. New CEO Ray Chun's cultural rebuild is a necessary response, but his 'winning' language and the organization's track record suggest a fundamentally finite orientation that will take years to shift.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TD articulates no compelling Just Cause. CEO Chun's stated priority is 'getting back to winning,' and his three pillars (accountability, curiosity, courage) are operational imperatives, not a vision of a better future [3]. The $3.09B AML penalty proved that the organization's actual purpose was cost minimization — 92% of transactions were deliberately excluded from monitoring systems, prioritizing efficiency over the bank's fundamental duty to prevent financial crime [4]. Sinek would view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TD has historically been a stable employer across 95,000 staff, and the orderly CEO transition from Bharat Masrani to Raymond Chun suggests organizational continuity [3]. However, the AML scandal revealed that five TD employees directly assisted money laundering networks, suggesting pockets of deeply compromised culture [4]. Chun's emphasis on needing to 'revamp culture' and 'hold employees accountable' acknowledges that the current trust environment is inadequate. The organization is neither high-trust nor overtly toxic — it is rebuilding.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Chun's emphasis on 'curiosity' as a core value and his acknowledgment that 'we've lost a little bit of that over the years' reflects a willingness to recognize organizational weaknesses relative to competitors [3]. TD competes against RBC, BMO, JPMorgan, and other large banks, and Chun's investor day framing positions these rivals as benchmarks for improvement rather than enemies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TD has evolved from a Canadian bank to a major cross-border North American franchise through organic growth and acquisitions (Banknorth, Commerce Bank). The 2018 Layer 6 AI acquisition shows willingness to embrace technological change [5]. However, these are incremental strategic extensions rather than transformative pivots — TD has been a retail bank throughout its history and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AML compliance failures demonstrate a systematic absence of courage. Rather than investing in robust compliance systems (the courageous, costly choice), TD deliberately excluded 92% of transaction volume from monitoring to save costs [4]. When confronted, the bank paid $3.09B and accepted an asset cap — consequences of avoiding the right decision for years. New CEO Chun has articulated a rebuild plan but has not yet made a costly, long-term bet that tests his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TD Bank posted record Q1 FY2026 earnings of $4.0B (up 45% YoY) with 11% revenue growth, ROE improving to 14.2%, and EPS of CAD 2.44 beating estimates by 8.4%, followed by Q2 EPS growth of 21% and ROE of 14.4% [1][2]. The bank's massive North American franchise (1,100+ U.S. retail locations, dominant Canadian market positions) and $199B market cap reflect enduring franchise value. Under new CEO Ray Chun, TD is executing a multiyear cultural rebuild, and the Layer 6 AI platform (100+ use cases, 150+ patents, 40,000 colleagues using AI tools) positions TD as a technology leader among global banks [5]. A 2.57% dividend yield with 19+ consecutive years of payments provides income stability.</w:t>
      </w:r>
    </w:p>
    <w:p>
      <w:pPr>
        <w:spacing w:after="120"/>
      </w:pPr>
      <w:r>
        <w:rPr>
          <w:rFonts w:ascii="Calibri" w:hAnsi="Calibri"/>
          <w:b w:val="0"/>
          <w:color w:val="3A4A28"/>
          <w:sz w:val="20"/>
        </w:rPr>
        <w:t>The $3.09B AML penalty (the largest BSA fine in U.S. history) revealed systemic compliance failures where 92% of transaction volume ($18.3 trillion) went unmonitored from 2018-2024, enabling three criminal money laundering networks to transfer $670M+ through TD accounts [4]. The resulting OCC-imposed U.S. asset cap constrains growth in TD's most profitable market, and the four-year monitorship creates ongoing operational overhead and regulatory scrutiny. ROE of 11.91% trails the 15% target and major Canadian peers, partly reflecting the penalty's drag on profitability. The 360% D/E ratio (standard for banks but mechanically penalized in the IOWN framework) and below-target 5yr dividend growth CAGR of 4.57% further weigh on the quantitative score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Post-AML remediation: successful completion of monitorship requirements could lead to lifting of the U.S. asset cap, unlocking growth in TD's American retail franchise of 1,100+ branches</w:t>
      </w:r>
    </w:p>
    <w:p>
      <w:pPr>
        <w:spacing w:before="40" w:after="40"/>
        <w:ind w:left="283"/>
      </w:pPr>
      <w:r>
        <w:rPr>
          <w:rFonts w:ascii="Calibri" w:hAnsi="Calibri"/>
          <w:b/>
          <w:color w:val="4A6B25"/>
          <w:sz w:val="20"/>
        </w:rPr>
        <w:t xml:space="preserve">2. </w:t>
      </w:r>
      <w:r>
        <w:rPr>
          <w:rFonts w:ascii="Calibri" w:hAnsi="Calibri"/>
          <w:b w:val="0"/>
          <w:color w:val="3A4A28"/>
          <w:sz w:val="20"/>
        </w:rPr>
        <w:t>AI-driven efficiency gains from TD AI Prism and 100+ deployed AI use cases reducing operating expenses as the platform scales across 95,000 employees</w:t>
      </w:r>
    </w:p>
    <w:p>
      <w:pPr>
        <w:spacing w:before="40" w:after="40"/>
        <w:ind w:left="283"/>
      </w:pPr>
      <w:r>
        <w:rPr>
          <w:rFonts w:ascii="Calibri" w:hAnsi="Calibri"/>
          <w:b/>
          <w:color w:val="4A6B25"/>
          <w:sz w:val="20"/>
        </w:rPr>
        <w:t xml:space="preserve">3. </w:t>
      </w:r>
      <w:r>
        <w:rPr>
          <w:rFonts w:ascii="Calibri" w:hAnsi="Calibri"/>
          <w:b w:val="0"/>
          <w:color w:val="3A4A28"/>
          <w:sz w:val="20"/>
        </w:rPr>
        <w:t>Canadian rate cycle normalization improving net interest margins across the bank's dominant domestic deposit franchise, with ROE trajectory toward 15%+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asset cap from OCC consent order constraining growth in the most profitable geography; failure to meet monitorship milestones could extend restrictions beyond the 2028 timeline</w:t>
      </w:r>
    </w:p>
    <w:p>
      <w:pPr>
        <w:spacing w:before="40" w:after="40"/>
        <w:ind w:left="283"/>
      </w:pPr>
      <w:r>
        <w:rPr>
          <w:rFonts w:ascii="Calibri" w:hAnsi="Calibri"/>
          <w:b/>
          <w:color w:val="4A6B25"/>
          <w:sz w:val="20"/>
        </w:rPr>
        <w:t xml:space="preserve">2. </w:t>
      </w:r>
      <w:r>
        <w:rPr>
          <w:rFonts w:ascii="Calibri" w:hAnsi="Calibri"/>
          <w:b w:val="0"/>
          <w:color w:val="3A4A28"/>
          <w:sz w:val="20"/>
        </w:rPr>
        <w:t>Cultural rebuild under CEO Chun acknowledges years of governance deterioration; restoring regulatory trust and employee accountability requires sustained execution with uncertain timeline and costs</w:t>
      </w:r>
    </w:p>
    <w:p>
      <w:pPr>
        <w:spacing w:before="40" w:after="40"/>
        <w:ind w:left="283"/>
      </w:pPr>
      <w:r>
        <w:rPr>
          <w:rFonts w:ascii="Calibri" w:hAnsi="Calibri"/>
          <w:b/>
          <w:color w:val="4A6B25"/>
          <w:sz w:val="20"/>
        </w:rPr>
        <w:t xml:space="preserve">3. </w:t>
      </w:r>
      <w:r>
        <w:rPr>
          <w:rFonts w:ascii="Calibri" w:hAnsi="Calibri"/>
          <w:b w:val="0"/>
          <w:color w:val="3A4A28"/>
          <w:sz w:val="20"/>
        </w:rPr>
        <w:t>Canadian housing market correction or recession would pressure TD's large domestic mortgage portfolio and consumer credit quality, amplifying the AML penalty's impact on capital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has meaningful defensive moats against AI disruption — regulatory requirements (banking licenses, deposit insurance, capital requirements), customer trust for holding deposits, and compliance complexity create barriers that AI startups cannot easily overcome [3]. However, AI is actively automating banking functions: customer service chatbots, automated underwriting, fraud detection, and back-office processing. Fintech challengers using AI-native architectures pose real competitive pressure on traditional branch-based models. TD's physical footprint (3,300+ branches) could become a liability as digital banking adoption accelerates. AI Opportunity (1/1): TD generates meaningful value from AI — the TD AI Prism foundation model, 100+ deployed AI use cases, GenAI virtual assistants reaching 40,000 colleagues, and the AI Platform (TAP) reducing time-to-market by 85% represent quantifiable operational AI revenue/savings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 Bank Q1 FY2026 Earnings — Record Earnings of $4.0B, Revenue Growth 11% YoY, Yahoo Finance, February 2026</w:t>
      </w:r>
    </w:p>
    <w:p>
      <w:pPr>
        <w:spacing w:before="20" w:after="20"/>
        <w:ind w:left="170"/>
      </w:pPr>
      <w:r>
        <w:rPr>
          <w:rFonts w:ascii="Calibri" w:hAnsi="Calibri"/>
          <w:b/>
          <w:color w:val="4A6B25"/>
          <w:sz w:val="15"/>
        </w:rPr>
        <w:t xml:space="preserve">2. </w:t>
      </w:r>
      <w:r>
        <w:rPr>
          <w:rFonts w:ascii="Calibri" w:hAnsi="Calibri"/>
          <w:b w:val="0"/>
          <w:color w:val="3A4A28"/>
          <w:sz w:val="17"/>
        </w:rPr>
        <w:t>TD Bank Q2 FY2026 Earnings — EPS Growth 21%, ROE 14.4%, Guru Focus, May 2026</w:t>
      </w:r>
    </w:p>
    <w:p>
      <w:pPr>
        <w:spacing w:before="20" w:after="20"/>
        <w:ind w:left="170"/>
      </w:pPr>
      <w:r>
        <w:rPr>
          <w:rFonts w:ascii="Calibri" w:hAnsi="Calibri"/>
          <w:b/>
          <w:color w:val="4A6B25"/>
          <w:sz w:val="15"/>
        </w:rPr>
        <w:t xml:space="preserve">3. </w:t>
      </w:r>
      <w:r>
        <w:rPr>
          <w:rFonts w:ascii="Calibri" w:hAnsi="Calibri"/>
          <w:b w:val="0"/>
          <w:color w:val="3A4A28"/>
          <w:sz w:val="17"/>
        </w:rPr>
        <w:t>TD CEO Ray Chun Investor Day Strategy — Culture Revamp and Accountability, The Globe and Mail, 2026</w:t>
      </w:r>
    </w:p>
    <w:p>
      <w:pPr>
        <w:spacing w:before="20" w:after="20"/>
        <w:ind w:left="170"/>
      </w:pPr>
      <w:r>
        <w:rPr>
          <w:rFonts w:ascii="Calibri" w:hAnsi="Calibri"/>
          <w:b/>
          <w:color w:val="4A6B25"/>
          <w:sz w:val="15"/>
        </w:rPr>
        <w:t xml:space="preserve">4. </w:t>
      </w:r>
      <w:r>
        <w:rPr>
          <w:rFonts w:ascii="Calibri" w:hAnsi="Calibri"/>
          <w:b w:val="0"/>
          <w:color w:val="3A4A28"/>
          <w:sz w:val="17"/>
        </w:rPr>
        <w:t>TD Bank AML/BSA Penalties — $3.09B Fine, DOJ Guilty Plea, FinCEN Record Penalty, OCC Asset Cap, October 2024</w:t>
      </w:r>
    </w:p>
    <w:p>
      <w:pPr>
        <w:spacing w:before="20" w:after="20"/>
        <w:ind w:left="170"/>
      </w:pPr>
      <w:r>
        <w:rPr>
          <w:rFonts w:ascii="Calibri" w:hAnsi="Calibri"/>
          <w:b/>
          <w:color w:val="4A6B25"/>
          <w:sz w:val="15"/>
        </w:rPr>
        <w:t xml:space="preserve">5. </w:t>
      </w:r>
      <w:r>
        <w:rPr>
          <w:rFonts w:ascii="Calibri" w:hAnsi="Calibri"/>
          <w:b w:val="0"/>
          <w:color w:val="3A4A28"/>
          <w:sz w:val="17"/>
        </w:rPr>
        <w:t>TD Layer 6 AI Innovation — 100+ Use Cases, AI Prism Model, 150+ Patents, TD Stories and BIG Innovation Awards,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TD Key Statistics and Valuation,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