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TEAD</w:t>
      </w:r>
      <w:r>
        <w:rPr>
          <w:rFonts w:ascii="Calibri" w:hAnsi="Calibri"/>
          <w:b/>
          <w:color w:val="1A2010"/>
          <w:sz w:val="40"/>
        </w:rPr>
        <w:t xml:space="preserve">  Teads Holding Co.</w:t>
      </w:r>
    </w:p>
    <w:p>
      <w:pPr>
        <w:spacing w:after="120"/>
      </w:pPr>
      <w:r>
        <w:rPr>
          <w:rFonts w:ascii="Calibri" w:hAnsi="Calibri"/>
          <w:b/>
          <w:color w:val="6E8450"/>
          <w:sz w:val="18"/>
        </w:rPr>
        <w:t>GROWTH SLEEVE · 2026-07-20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Teads Holding Co. operates a two-sided omnichannel advertising technology platform connecting media owners with advertisers across video, display, native, and CTV formats. Formerly Outbrain Inc., the company completed the $1B acquisition of Legacy Teads in Q1 2025, rebranding as Teads Holding Co. The platform leverages predictive AI to deliver targeted advertising solutions across the Americas, EMEA, and APAC. Market cap approximately $85M.</w:t>
      </w:r>
    </w:p>
    <w:p>
      <w:r>
        <w:rPr>
          <w:rFonts w:ascii="Calibri" w:hAnsi="Calibri"/>
          <w:b/>
          <w:color w:val="6E8450"/>
          <w:sz w:val="18"/>
        </w:rPr>
        <w:t>1,700 Employees · https://www.teads.com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Outbrain-Teads merger in Q1 2025 created a combined omnichannel platform, but Q1 2026 revenue declined 7% YoY on a pro forma basis, suggesting the merger has not yet driven incremental demand [1]. The integration of Outbrain performance algorithms into Teads Ad Manager represents incremental product development rather than transformative innovation. AI Deployment (1/2): Teads deploys predictive AI across its platform for targeting, creative optimization, and campaign performance — AI is embedded throughout the ad-serving stack, though specific quantified revenue or efficiency gains from AI capabilities were not broken out [2]. Market Share (1/2): CTV revenue grew over 50% YoY in Q1 2026, primarily in EMEA and APAC, demonstrating share gains in the fastest-growing ad format, and omnichannel adoption continues expanding [1]. However, the company remains a small player versus Google, Meta, and The Trade Desk. Pipeline (0/2): No specific next-generation products with launch dates or revenue targets were identified; the 2026 focus is on integration synergies ($65-75M targeted) and cost optimization rather than new product launches [1]. R&amp;D Intensity (1/1): Active engineering and AI development investment in platform capabilities, consistent with ad-tech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Teads' purpose of powering advertising 'for the open internet' while 'funding quality journalism' is a genuine but generic ad-tech aspiration interchangeable with any programmatic advertising platform [2]. Community Impact (0/2): No charitable foundation, community programs, or philanthropic investments were identified; the sustainability focus is limited to measuring the environmental footprint of programmatic advertising [3]. Employee Retention (1/2): Glassdoor rating of 3.9/5 with 76% recommending suggests reasonable culture, though the 10% headcount reduction (200+ jobs cut) in 2025 and concerns about senior leadership diversity indicate cultural stress during merger integration [4]. Insider Buying (2/2): Meaningful net insider buying by multiple C-suite executives — CEO David Kostman bought 46,500 shares at $1.07-1.19 ($50-55K), and CCO Mary Spilman purchased 105,000 shares at $0.99 ($104K) in open-market transactions during May-June 2026, with net insider buying exceeding selling over the past 3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deeply distressed ad-tech company. D/E of 1,300% (up from 685% in April) reflects the leveraged $1B Teads acquisition with $649M debt against rapidly shrinking equity as losses continue [6]. ROE is deeply negative (estimated -200%+) on Q1 2026 GAAP net loss of $38.8M, though losses narrowed 29% from Q1 2025 [1]. Revenue declined 7% YoY in Q1 2026 on a combined basis, a stark deterioration from the acquisition-inflated 50.2% growth shown in FY2025 [1]. Forward P/E is negative (-2.41) as analysts expect continued losses in 2026, though adjusted EBITDA guidance of approximately $100M for FY2026 suggests underlying operational improvement [1]. Ex-TAC gross profit of EUR 108M grew 5% YoY, a more relevant ad-tech metric. Profit margin remains deeply negative at approximately -13%. The 5yr revenue CAGR of ~9% includes the acquisition step-change. Liquidity: ~1,857,000 avg volume x $0.85 = $1.58M — clears the $1M threshold but remains borderline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Teads exhibits predominantly finite-game behavior — the Outbrain-Teads merger was driven by survival necessity (achieving scale to compete against Google and Meta's ad dominance) rather than advancing a Just Cause. Revenue declining 7% despite the $1B acquisition, a 10% headcount reduction, and adjusted EBITDA of just $1M in Q1 all signal a company playing to survive the quarter rather than to endure. CEO Kostman's insider purchases provide a modest counterpoint of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Teads' stated purpose of powering the 'open internet' and 'funding quality journalism' through better advertising is genuinely important to the media ecosystem, but the company's actions — aggressive cost-cutting, merger-driven strategy, and focus on near-term synergies — suggest the cause serves the investor pitch more than strategic decisions [2]. The rebranding from Outbrain to Teads Holding and the complete strategic pivot undermine consistency of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and 76% recommendation rate suggest employees generally value the work environment [4]. However, the 200+ headcount reduction in 2025 and concerns about management preferring 'rookies on low salaries instead of being competitive' undermine psychological safety. The merger integration itself creates inherent cultural tension between the Outbrain and Legacy Teads teams as roles are consolidated.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Teads competes against Google and Meta, which together command 50%+ of digital ad spend. CEO Kostman's framing — 'this is the best combination for the open internet in terms of the value we can bring' — focuses on the company's own value proposition rather than attacking competitors [2]. The company acknowledges it is playing a different game from walled-garden incumbents, competing through publisher relationships and omnichannel quality.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Outbrain-Teads merger represents a significant strategic transformation from content recommendation to a full-stack omnichannel advertising platform, and the CTV expansion to $100M+ shows adaptability to emerging formats [1]. However, this was a forced adaptation driven by secular decline in Outbrain's core content recommendation business rather than a visionary pivot in service of a deeper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appear primarily reactive — the $1B Teads merger was defensive, the 200+ headcount reduction was forced by losses, and the cost optimization focus signals financial survival rather than courageous long-term investment [1]. With revenue declining 7% and Q1 adjusted EBITDA of only $1M, the company lacks the financial runway to make bold bets. CEO Kostman's open-market purchases ($50K) show personal conviction but not organizational courage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Teads is a deeply distressed ad-tech company attempting to build a viable omnichannel advertising platform from the $1B merger of Outbrain and Legacy Teads. Q1 2026 showed revenue declining 7% YoY on a combined basis to EUR 266M, though losses narrowed 29% to $38.8M and ex-TAC gross profit grew 5% to EUR 108M [1]. CTV advertising revenue grew over 50% YoY, primarily in EMEA and APAC, providing a bright spot within the struggling portfolio. Management maintained full-year 2026 adjusted EBITDA guidance of approximately $100M with $65-75M in merger synergies expected [1]. CEO Kostman ($50K) and CCO Spilman ($104K) making open-market purchases at $1-1.19 per share signals C-suite conviction that shares are undervalued at current levels [5].</w:t>
      </w:r>
    </w:p>
    <w:p>
      <w:pPr>
        <w:spacing w:after="120"/>
      </w:pPr>
      <w:r>
        <w:rPr>
          <w:rFonts w:ascii="Calibri" w:hAnsi="Calibri"/>
          <w:b w:val="0"/>
          <w:color w:val="3A4A28"/>
          <w:sz w:val="20"/>
        </w:rPr>
        <w:t>D/E has deteriorated to 1,300% as continuing losses erode equity against $649M in acquisition debt, while cash of $166M provides limited runway given Q1 adjusted free cash flow use of $41M [1][6]. Revenue declining 7% despite the $1B acquisition undermines the strategic thesis, and GAAP net loss of $38.8M in Q1 alone (improved but still substantial) highlights the gulf between adjusted EBITDA profitability and GAAP reality. Structural AI disruption threatens multiple business lines — generative AI reducing creative services demand, AI search reducing publisher traffic, and AI assistants potentially disintermediating display advertising entirely [2]. At $0.85/share with $85M market cap, the stock faces potential NASDAQ delisting risk (sub-$1 for extended period), and the $1.58M daily traded value is borderline for institutional investment. SELL reflects the combination of unsustainable leverage, declining revenue, existential competitive threats, and severe AI disruption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CTV advertising revenue growing 50%+ YoY with expanding EMEA and APAC adoption could become the growth engine if CTV spending secular trends continue and Teads captures share from linear TV budgets [1]</w:t>
      </w:r>
    </w:p>
    <w:p>
      <w:pPr>
        <w:spacing w:before="40" w:after="40"/>
        <w:ind w:left="283"/>
      </w:pPr>
      <w:r>
        <w:rPr>
          <w:rFonts w:ascii="Calibri" w:hAnsi="Calibri"/>
          <w:b/>
          <w:color w:val="4A6B25"/>
          <w:sz w:val="20"/>
        </w:rPr>
        <w:t xml:space="preserve">2. </w:t>
      </w:r>
      <w:r>
        <w:rPr>
          <w:rFonts w:ascii="Calibri" w:hAnsi="Calibri"/>
          <w:b w:val="0"/>
          <w:color w:val="3A4A28"/>
          <w:sz w:val="20"/>
        </w:rPr>
        <w:t>Merger synergies of $65-75M in FY2026 with additional opportunities in following years could bridge the gap to GAAP profitability if revenue stabilizes — adjusted EBITDA guidance of ~$100M represents a 9% margin on ~$1.1B revenue [1]</w:t>
      </w:r>
    </w:p>
    <w:p>
      <w:pPr>
        <w:spacing w:before="40" w:after="40"/>
        <w:ind w:left="283"/>
      </w:pPr>
      <w:r>
        <w:rPr>
          <w:rFonts w:ascii="Calibri" w:hAnsi="Calibri"/>
          <w:b/>
          <w:color w:val="4A6B25"/>
          <w:sz w:val="20"/>
        </w:rPr>
        <w:t xml:space="preserve">3. </w:t>
      </w:r>
      <w:r>
        <w:rPr>
          <w:rFonts w:ascii="Calibri" w:hAnsi="Calibri"/>
          <w:b w:val="0"/>
          <w:color w:val="3A4A28"/>
          <w:sz w:val="20"/>
        </w:rPr>
        <w:t>C-suite insider buying by CEO Kostman and CCO Spilman at $0.99-1.19 provides modest signal that insiders see a disconnect between current price and intrinsic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1,300% with $649M debt and $166M cash against Q1 adjusted free cash flow use of $41M creates serious going-concern risk — any revenue acceleration of decline could trigger a liquidity crisis before synergies materialize [6]</w:t>
      </w:r>
    </w:p>
    <w:p>
      <w:pPr>
        <w:spacing w:before="40" w:after="40"/>
        <w:ind w:left="283"/>
      </w:pPr>
      <w:r>
        <w:rPr>
          <w:rFonts w:ascii="Calibri" w:hAnsi="Calibri"/>
          <w:b/>
          <w:color w:val="4A6B25"/>
          <w:sz w:val="20"/>
        </w:rPr>
        <w:t xml:space="preserve">2. </w:t>
      </w:r>
      <w:r>
        <w:rPr>
          <w:rFonts w:ascii="Calibri" w:hAnsi="Calibri"/>
          <w:b w:val="0"/>
          <w:color w:val="3A4A28"/>
          <w:sz w:val="20"/>
        </w:rPr>
        <w:t>Revenue declining 7% YoY on a pro forma combined basis undermines the strategic rationale for the $1B Teads acquisition and suggests the merged entity is losing share to Google, Meta, and The Trade Desk [1]</w:t>
      </w:r>
    </w:p>
    <w:p>
      <w:pPr>
        <w:spacing w:before="40" w:after="40"/>
        <w:ind w:left="283"/>
      </w:pPr>
      <w:r>
        <w:rPr>
          <w:rFonts w:ascii="Calibri" w:hAnsi="Calibri"/>
          <w:b/>
          <w:color w:val="4A6B25"/>
          <w:sz w:val="20"/>
        </w:rPr>
        <w:t xml:space="preserve">3. </w:t>
      </w:r>
      <w:r>
        <w:rPr>
          <w:rFonts w:ascii="Calibri" w:hAnsi="Calibri"/>
          <w:b w:val="0"/>
          <w:color w:val="3A4A28"/>
          <w:sz w:val="20"/>
        </w:rPr>
        <w:t>Sub-$1 stock price ($0.85) risks NASDAQ delisting if not corrected, which would further reduce institutional access and liquidity in an already borderline-liquid micro-cap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Teads operates in the digital advertising intermediary space facing meaningful AI disruption from multiple vectors [2]. Generative AI enables advertisers to create high-quality creative content without agencies, reducing demand for Teads' creative services. Google's AI Overviews and AI-powered search experiences reduce click-through rates to publisher content, threatening the content-recommendation business inherited from Outbrain. Large language models powering conversational AI assistants may eventually disintermediate display and native advertising. The company's moat — publisher relationships and two-sided marketplace network effects — is weaker than walled-garden competitors (Google, Meta) who own user attention directly. AI Opportunity (1/1): Teads generates revenue from AI-powered advertising solutions — its predictive AI platform optimizes targeting, creative, and campaign performance across its ~$1.1B revenue base, and CTV growth of 50%+ is partially AI-driven through algorithmic ad placement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Teads Holding Co. Q1 2026 Earnings Release — revenue EUR 266M (-7% YoY), net loss $38.8M, adjusted EBITDA ~$1M, FY2026 EBITDA guidance ~$100M; investors.teads.com, May 2026</w:t>
      </w:r>
    </w:p>
    <w:p>
      <w:pPr>
        <w:spacing w:before="20" w:after="20"/>
        <w:ind w:left="170"/>
      </w:pPr>
      <w:r>
        <w:rPr>
          <w:rFonts w:ascii="Calibri" w:hAnsi="Calibri"/>
          <w:b/>
          <w:color w:val="4A6B25"/>
          <w:sz w:val="15"/>
        </w:rPr>
        <w:t xml:space="preserve">2. </w:t>
      </w:r>
      <w:r>
        <w:rPr>
          <w:rFonts w:ascii="Calibri" w:hAnsi="Calibri"/>
          <w:b w:val="0"/>
          <w:color w:val="3A4A28"/>
          <w:sz w:val="17"/>
        </w:rPr>
        <w:t>Teads Corporate Website — leadership team (CEO Kostman, Co-Presidents Arditi/Quesada, CCO Spilman), AI-powered platform, open internet mission; teads.com,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Teads Sustainability Program — environmental footprint of programmatic advertising; teads.com/sustainability,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Teads/Outbrain, 3.9/5 rating, 76% recommend;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NASDAQ / StockTitan — TEAD insider trading activity: CEO Kostman 46,500 shares at $1.07-1.19, CCO Spilman 105,000 shares at $0.99; June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TEAD: D/E 1,300%, market cap $85M, Forward P/E -2.41, avg volume 1.86M;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