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TIGR</w:t>
      </w:r>
      <w:r>
        <w:rPr>
          <w:rFonts w:ascii="Calibri" w:hAnsi="Calibri"/>
          <w:b/>
          <w:color w:val="1A2010"/>
          <w:sz w:val="40"/>
        </w:rPr>
        <w:t xml:space="preserve">  UP Fintech Holding Limited</w:t>
      </w:r>
    </w:p>
    <w:p>
      <w:pPr>
        <w:spacing w:after="120"/>
      </w:pPr>
      <w:r>
        <w:rPr>
          <w:rFonts w:ascii="Calibri" w:hAnsi="Calibri"/>
          <w:b/>
          <w:color w:val="6E8450"/>
          <w:sz w:val="18"/>
        </w:rPr>
        <w:t>GROWTH SLEEVE · 2026-07-08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Singapore</w:t>
      </w:r>
    </w:p>
    <w:p>
      <w:pPr>
        <w:spacing w:after="80"/>
      </w:pPr>
      <w:r>
        <w:rPr>
          <w:rFonts w:ascii="Calibri" w:hAnsi="Calibri"/>
          <w:b w:val="0"/>
          <w:color w:val="3A4A28"/>
          <w:sz w:val="20"/>
        </w:rPr>
        <w:t>UP Fintech Holding (Tiger Brokers) is a leading online brokerage platform serving global investors, primarily Chinese-speaking users. Through its Tiger Trade app, the company offers trading in stocks, options, futures, and other financial instruments across multiple markets. It also provides wealth management, ESOP management, IPO underwriting, and investor education services. Headquartered in Singapore, the company was fined $60M by the CSRC in May 2026 for illegal cross-border securities activities in mainland China.</w:t>
      </w:r>
    </w:p>
    <w:p>
      <w:r>
        <w:rPr>
          <w:rFonts w:ascii="Calibri" w:hAnsi="Calibri"/>
          <w:b/>
          <w:color w:val="6E8450"/>
          <w:sz w:val="18"/>
        </w:rPr>
        <w:t>https://www.itigerup.com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 Fintech transformed from a China-focused retail brokerage into a global multi-market platform, expanding into Singapore, Australia, New Zealand, and Hong Kong. FY2025 revenue surged 56.3% to $612.1M with non-GAAP net income of $186.5M (up 164.7%), demonstrating successful execution of the global expansion strategy [1][2]. However, Q1 2026 showed deceleration with 26.3% revenue growth to $154.9M and a net loss of $26.9M driven by the CSRC fine [3]. AI Deployment (2/2): Tiger Brokers launched TigerAI, becoming the first brokerage platform to integrate leading AI models for investment analysis, providing real-time financial reporting, sentiment analysis, and stock summaries [5]. The TradingFront AI function delivers real-time portfolio analytics, risk exposure assessment, and asset allocation insights to advisers — a measurable, shipping AI product [5]. Market Share (1/2): Tiger Brokers is a leading online brokerage among Chinese-speaking global investors with expanding presence in Singapore and Hong Kong, adding 160,000+ funded clients in FY2025, though it remains a niche player versus Interactive Brokers or Charles Schwab globally [1]. Pipeline (1/2): Continued geographic expansion with a 150,000 new funded client target for 2026, and TigerAI product development provide growth visibility, though specific product launch timelines are limited [3]. R&amp;D Intensity (1/1): Founded by Tsinghua-educated engineers with deep tech backgrounds (CEO Wu Tianhua served at NetEase's Youdao and Goldman Sachs), the company invests heavily in platform technology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Tiger Brokers aims to democratize global investing for retail investors through mobile-first technology. This is clear and identifies a genuine purpose — making global markets accessible to Chinese-speaking investors worldwide — but is not distinctive; most fintech brokerages make similar claims [5]. Community Impact (1/2): The company provides investor education, community engagement, and financial literacy resources through its platform, and its IPO underwriting services help emerging companies access capital markets [1]. Employee Retention (0/2): No publicly available employee retention data, Glassdoor reviews, or culture metrics. Employee headcount is not even disclosed [5]. Insider Buying (1/2): CEO Wu Tianhua founded the company and maintains significant ownership, aligning personal wealth with company performance. His decision to leave Goldman Sachs to build Tiger Brokers signals long-term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 Fintech's financial profile remains strong across core growth metrics despite the Q1 2026 regulatory setback. D/E of 7.8% reflects minimal leverage with $4.19B cash against $173M debt [6]. ROE of 22.4% significantly exceeds the 15% target, and FY2025 profit margin of 31.7% demonstrates operating leverage at scale [6]. Revenue grew 56.3% YoY in FY2025 to $612.1M with an estimated 5-year CAGR of approximately 35% [1]. Forward P/E of 6.88x is extraordinarily cheap for a company growing revenue 26%+ YoY — the market is pricing in significant regulatory and geopolitical risk following the CSRC $60M fine [3][6]. The PEG ratio of 1.60 remains reasonable for the growth profile. The Q1 2026 net loss of $26.9M was driven by the one-time CSRC penalty and does not reflect structural deterioration in the business model [3]. Liquidity floor cleared at $21M daily (4.57M avg vol at $4.60)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 Fintech shows limited infinite game characteristics. While the founder-led culture and global expansion vision demonstrate some long-term thinking, the CSRC investigation revealing illegal cross-border securities activities undermines claims of principled leadership. The company's competitive mindset is oriented toward rapid user acquisition and market share capture rather than advancing a cause that transcends the business. The regulatory fine and subsequent 54% YTD stock decline expose the fragility of growth-at-all-costs strategies.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Tiger Brokers' purpose — democratizing global investing through mobile technology — is genuine but shallow in the Sinek sense [5]. Making investing more accessible is a real societal benefit, but the company's communications focus overwhelmingly on revenue growth, funded client counts, and geographic expansion rather than articulating why democratized investing matters for the world. The cause is not distinctive enough to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was founded by a technically accomplished team (CEO Wu Tianhua from Tsinghua/NetEase/Goldman Sachs) and has maintained leadership stability since founding in 2014 [5]. FY2025's tripling of net income to $186.5M demonstrates effective team execution. However, no employee count is disclosed, no Glassdoor data exists, and the CSRC investigation into illegal activities raises questions about internal compliance culture and whether employees felt safe raising concerns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Tiger Brokers' competitive positioning is framed around being 'the first' (first to integrate AI models, first mobile-first brokerage for Chinese investors) rather than learning from rivals' strengths [5]. Management commentary focuses on market leadership claims rather than acknowledging where Interactive Brokers, Futu Holdings, or established wealth managers excel.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Tiger Brokers showed meaningful strategic flexibility by pivoting from a China-focused brokerage to a Singapore-headquartered global platform after Chinese regulatory pressures threatened its original business model [4]. This geographic restructuring preserved the business when staying China-focused could have been existential. However, the pivot was driven by regulatory survival rather than proactive pursuit of a Just Cause, and the subsequent CSRC fine suggests the company never fully exited the problematic China-based activities.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CSRC investigation and $60M fine for conducting unlicensed cross-border securities and illegal fund and futures business in mainland China fundamentally undermines claims of courageous leadership [4]. While CEO Wu's decision to leave Goldman Sachs to found Tiger Brokers showed personal conviction, the regulatory findings reveal the company pursued growth through activities Chinese regulators deemed illegal rather than building the business through principled compliance. Courage in Sinek's framework means acting in service of the Just Cause even when costly — not circumventing regulations for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 Fintech delivered exceptional FY2025 results — revenue surged 56.3% to $612.1M with non-GAAP net income of $186.5M (up 164.7%), while adding 160,000+ funded clients and reaching $61B in global client assets [1][2]. At 6.88x forward P/E with 31.7% profit margins, 22.4% ROE, and minimal leverage (D/E 7.8%), the stock is trading at a massive discount to its financial quality and growth rate [6]. The TigerAI platform positions Tiger Brokers as the first brokerage to integrate leading AI models for investment analysis, potentially creating a durable technology differentiation as AI transforms wealth management [5]. Q1 2026 revenue grew 26.3% YoY to $154.9M, demonstrating continued momentum even as the company absorbs the regulatory penalty [3].</w:t>
      </w:r>
    </w:p>
    <w:p>
      <w:pPr>
        <w:spacing w:after="120"/>
      </w:pPr>
      <w:r>
        <w:rPr>
          <w:rFonts w:ascii="Calibri" w:hAnsi="Calibri"/>
          <w:b w:val="0"/>
          <w:color w:val="3A4A28"/>
          <w:sz w:val="20"/>
        </w:rPr>
        <w:t>The bear case centers on regulatory and geopolitical risk that now has materialized. The CSRC fined UP Fintech RMB308.1M ($45M) plus confiscated RMB103.1M ($15M) in 'illegal income' for conducting unlicensed cross-border securities business in mainland China, sending shares down 28% in a single session and 54% YTD [4]. Q1 2026 swung to a $26.9M net loss from $30.4M profit a year earlier, driven by the regulatory penalty [3]. The People's Daily has described cross-border online brokerages as 'illegal financial activities,' and further regulatory action cannot be ruled out [4]. The VIE corporate structure, ADR listing, and minimal ESG transparency create governance risks that keep institutional investors away. Revenue concentration among Chinese-speaking investors means U.S.-China geopolitical tensions directly threaten the customer base. The 2026 target of 150,000 new funded clients prioritizes 'quality over volume,' potentially signaling growth deceleration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TigerAI platform — first brokerage to integrate leading AI models for investment analysis — driving premium user engagement and differentiating Tiger Trade from commodity brokerage competitors [5]</w:t>
      </w:r>
    </w:p>
    <w:p>
      <w:pPr>
        <w:spacing w:before="40" w:after="40"/>
        <w:ind w:left="283"/>
      </w:pPr>
      <w:r>
        <w:rPr>
          <w:rFonts w:ascii="Calibri" w:hAnsi="Calibri"/>
          <w:b/>
          <w:color w:val="4A6B25"/>
          <w:sz w:val="20"/>
        </w:rPr>
        <w:t xml:space="preserve">2. </w:t>
      </w:r>
      <w:r>
        <w:rPr>
          <w:rFonts w:ascii="Calibri" w:hAnsi="Calibri"/>
          <w:b w:val="0"/>
          <w:color w:val="3A4A28"/>
          <w:sz w:val="20"/>
        </w:rPr>
        <w:t>Post-CSRC resolution recovery: with the $60M fine paid and compliance framework presumably strengthened, regulatory uncertainty could diminish, allowing the stock to re-rate toward fundamentals [4]</w:t>
      </w:r>
    </w:p>
    <w:p>
      <w:pPr>
        <w:spacing w:before="40" w:after="40"/>
        <w:ind w:left="283"/>
      </w:pPr>
      <w:r>
        <w:rPr>
          <w:rFonts w:ascii="Calibri" w:hAnsi="Calibri"/>
          <w:b/>
          <w:color w:val="4A6B25"/>
          <w:sz w:val="20"/>
        </w:rPr>
        <w:t xml:space="preserve">3. </w:t>
      </w:r>
      <w:r>
        <w:rPr>
          <w:rFonts w:ascii="Calibri" w:hAnsi="Calibri"/>
          <w:b w:val="0"/>
          <w:color w:val="3A4A28"/>
          <w:sz w:val="20"/>
        </w:rPr>
        <w:t>Continued revenue momentum with FY2025 at $612M (56.3% growth) establishing a base for $700M+ in 2026 if Q2-Q4 normalize from the Q1 loss quarter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CSRC regulatory overhang — the $60M fine for illegal cross-border securities activities is a settled penalty but additional regulatory actions from Chinese, Singaporean, or Hong Kong authorities remain possible, and compliance credibility has been damaged [4]</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$26.9M versus prior-year profit of $30.4M demonstrates how regulatory risk can instantly reverse profitability, and the stock's 54% YTD decline reflects the market's repricing of this risk [3][4]</w:t>
      </w:r>
    </w:p>
    <w:p>
      <w:pPr>
        <w:spacing w:before="40" w:after="40"/>
        <w:ind w:left="283"/>
      </w:pPr>
      <w:r>
        <w:rPr>
          <w:rFonts w:ascii="Calibri" w:hAnsi="Calibri"/>
          <w:b/>
          <w:color w:val="4A6B25"/>
          <w:sz w:val="20"/>
        </w:rPr>
        <w:t xml:space="preserve">3. </w:t>
      </w:r>
      <w:r>
        <w:rPr>
          <w:rFonts w:ascii="Calibri" w:hAnsi="Calibri"/>
          <w:b w:val="0"/>
          <w:color w:val="3A4A28"/>
          <w:sz w:val="20"/>
        </w:rPr>
        <w:t>VIE corporate structure, ADR delisting concerns amid U.S.-China tensions, and minimal ESG transparency create structural governance risks that may prevent institutional investors from rebuilding positions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Online brokerages face meaningful AI disruption risk. AI-powered trading tools, robo-advisors, and autonomous portfolio management platforms are proliferating, potentially disintermediating traditional brokerage relationships [5]. Competitors like Robinhood, Interactive Brokers, and emerging AI-native platforms could leverage AI to offer superior user experiences, automated research, and lower-cost trading. Tiger Brokers' competitive moat — cross-border regulatory licenses, multi-market custody infrastructure, and the Chinese-speaking user community — provides some structural protection that AI alone cannot replicate, but the trading and advisory experience layers face direct AI competition. The CSRC fine for illegal cross-border activities demonstrates that regulatory compliance risk, not just AI risk, threatens the business model [4]. AI Opportunity (1/1): Tiger Brokers is actively monetizing AI through TigerAI (the first brokerage to integrate leading AI models for investment analysis) and TradingFront AI (real-time adviser analytics) [5]. These are shipping products generating user engagement and potentially differentiating the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 Fintech FY2025 Annual Results — $612.1M revenue (56.3% growth), $186.5M non-GAAP net income (164.7% growth), 160K+ new funded clients, Finance Magnates/SEC 6-K</w:t>
      </w:r>
    </w:p>
    <w:p>
      <w:pPr>
        <w:spacing w:before="20" w:after="20"/>
        <w:ind w:left="170"/>
      </w:pPr>
      <w:r>
        <w:rPr>
          <w:rFonts w:ascii="Calibri" w:hAnsi="Calibri"/>
          <w:b/>
          <w:color w:val="4A6B25"/>
          <w:sz w:val="15"/>
        </w:rPr>
        <w:t xml:space="preserve">2. </w:t>
      </w:r>
      <w:r>
        <w:rPr>
          <w:rFonts w:ascii="Calibri" w:hAnsi="Calibri"/>
          <w:b w:val="0"/>
          <w:color w:val="3A4A28"/>
          <w:sz w:val="17"/>
        </w:rPr>
        <w:t>UP Fintech Q4 2025 Earnings — $175.6M quarterly revenue (41.5% YoY growth), $61B global client assets, SEC 6-K Filing</w:t>
      </w:r>
    </w:p>
    <w:p>
      <w:pPr>
        <w:spacing w:before="20" w:after="20"/>
        <w:ind w:left="170"/>
      </w:pPr>
      <w:r>
        <w:rPr>
          <w:rFonts w:ascii="Calibri" w:hAnsi="Calibri"/>
          <w:b/>
          <w:color w:val="4A6B25"/>
          <w:sz w:val="15"/>
        </w:rPr>
        <w:t xml:space="preserve">3. </w:t>
      </w:r>
      <w:r>
        <w:rPr>
          <w:rFonts w:ascii="Calibri" w:hAnsi="Calibri"/>
          <w:b w:val="0"/>
          <w:color w:val="3A4A28"/>
          <w:sz w:val="17"/>
        </w:rPr>
        <w:t>UP Fintech Q1 2026 Financial Results — $154.9M revenue (26.3% YoY growth), $26.9M net loss, 150K new funded client target for 2026, SEC 6-K Filing, June 2026</w:t>
      </w:r>
    </w:p>
    <w:p>
      <w:pPr>
        <w:spacing w:before="20" w:after="20"/>
        <w:ind w:left="170"/>
      </w:pPr>
      <w:r>
        <w:rPr>
          <w:rFonts w:ascii="Calibri" w:hAnsi="Calibri"/>
          <w:b/>
          <w:color w:val="4A6B25"/>
          <w:sz w:val="15"/>
        </w:rPr>
        <w:t xml:space="preserve">4. </w:t>
      </w:r>
      <w:r>
        <w:rPr>
          <w:rFonts w:ascii="Calibri" w:hAnsi="Calibri"/>
          <w:b w:val="0"/>
          <w:color w:val="3A4A28"/>
          <w:sz w:val="17"/>
        </w:rPr>
        <w:t>CSRC Investigation and Fine — RMB308.1M fine plus RMB103.1M confiscated for illegal cross-border securities activities, shares down 28%, FX News Group/Bloomberg, May 2026</w:t>
      </w:r>
    </w:p>
    <w:p>
      <w:pPr>
        <w:spacing w:before="20" w:after="20"/>
        <w:ind w:left="170"/>
      </w:pPr>
      <w:r>
        <w:rPr>
          <w:rFonts w:ascii="Calibri" w:hAnsi="Calibri"/>
          <w:b/>
          <w:color w:val="4A6B25"/>
          <w:sz w:val="15"/>
        </w:rPr>
        <w:t xml:space="preserve">5. </w:t>
      </w:r>
      <w:r>
        <w:rPr>
          <w:rFonts w:ascii="Calibri" w:hAnsi="Calibri"/>
          <w:b w:val="0"/>
          <w:color w:val="3A4A28"/>
          <w:sz w:val="17"/>
        </w:rPr>
        <w:t>Tiger Brokers AI Innovation — TigerAI launch, TradingFront AI function, CEO Wu Tianhua background, AInvest/IR website</w:t>
      </w:r>
    </w:p>
    <w:p>
      <w:pPr>
        <w:spacing w:before="20" w:after="20"/>
        <w:ind w:left="170"/>
      </w:pPr>
      <w:r>
        <w:rPr>
          <w:rFonts w:ascii="Calibri" w:hAnsi="Calibri"/>
          <w:b/>
          <w:color w:val="4A6B25"/>
          <w:sz w:val="15"/>
        </w:rPr>
        <w:t xml:space="preserve">6. </w:t>
      </w:r>
      <w:r>
        <w:rPr>
          <w:rFonts w:ascii="Calibri" w:hAnsi="Calibri"/>
          <w:b w:val="0"/>
          <w:color w:val="3A4A28"/>
          <w:sz w:val="17"/>
        </w:rPr>
        <w:t>Stockanalysis.com — TIGR financial statistics, forward PE 6.88, D/E 7.81%, ROE 22.38%,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