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TMO</w:t>
      </w:r>
      <w:r>
        <w:rPr>
          <w:rFonts w:ascii="Calibri" w:hAnsi="Calibri"/>
          <w:b/>
          <w:color w:val="1A2010"/>
          <w:sz w:val="40"/>
        </w:rPr>
        <w:t xml:space="preserve">  Thermo Fisher Scientific Inc.</w:t>
      </w:r>
    </w:p>
    <w:p>
      <w:pPr>
        <w:spacing w:after="120"/>
      </w:pPr>
      <w:r>
        <w:rPr>
          <w:rFonts w:ascii="Calibri" w:hAnsi="Calibri"/>
          <w:b/>
          <w:color w:val="6E8450"/>
          <w:sz w:val="18"/>
        </w:rPr>
        <w:t>GROWTH SLEEVE · 2026-07-15 · Inspire: -92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NYSE · United States</w:t>
      </w:r>
    </w:p>
    <w:p>
      <w:pPr>
        <w:spacing w:after="80"/>
      </w:pPr>
      <w:r>
        <w:rPr>
          <w:rFonts w:ascii="Calibri" w:hAnsi="Calibri"/>
          <w:b w:val="0"/>
          <w:color w:val="3A4A28"/>
          <w:sz w:val="20"/>
        </w:rPr>
        <w:t>Thermo Fisher Scientific is the world leader in serving science, providing analytical instruments, equipment, reagents, consumables, software, and services for research, analysis, discovery, and diagnostics. The company operates through four segments: Life Sciences Solutions, Analytical Instruments, Specialty Diagnostics, and Laboratory Products &amp; Biopharma Services, serving pharmaceutical, biotech, academic, government, and clinical customers globally.</w:t>
      </w:r>
    </w:p>
    <w:p>
      <w:r>
        <w:rPr>
          <w:rFonts w:ascii="Calibri" w:hAnsi="Calibri"/>
          <w:b/>
          <w:color w:val="6E8450"/>
          <w:sz w:val="18"/>
        </w:rPr>
        <w:t>130,000 Employees · https://www.thermofisher.com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Thermo Fisher has executed a transformative acquisition strategy over the past decade — PPD ($17.4B, 2021), Olink ($3.1B, 2024), and numerous bolt-ons that expanded the company from analytical instruments into a full-stack life sciences platform covering drug discovery, clinical trials, diagnostics, and laboratory workflows [3]. In early 2026, the company announced collaborations with NVIDIA and TetraScience for AI-powered lab automation, plus a strategic alliance with OpenAI to accelerate scientific discovery [2]. AI Deployment (1/2): AI lab partnerships with NVIDIA, TetraScience, and OpenAI represent genuine AI product development, but these are early-stage collaborations without quantified revenue contribution. The PPI (Practical Process Improvement) system drives internal productivity but is not AI-specific [2]. Market Share (2/2): Thermo Fisher is the undisputed global leader in life sciences tools with $196B market cap and $45.2B TTM revenue — #1 or #2 in virtually every category it competes in, from mass spectrometry to cell culture to clinical trial services [1][3]. Product Pipeline (1/2): 2026 Investor Day outlined long-term growth targets and AI-enabled workflow roadmap, but specific next-generation product launches with dates were limited beyond the NVIDIA/OpenAI partnerships [2]. R&amp;D Intensity (1/1): R&amp;D spending supports continuous innovation across thousands of products, at or above industry average for diversified life sciences companies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Thermo Fisher's mission — 'to enable our customers to make the world healthier, cleaner and safer' — is specific, thoughtful, and differentiating. It connects the company's work to a larger purpose (human health and safety) and has been consistently referenced by leadership including CEO Marc Casper across strategic decisions for over a decade [2][3]. The mission genuinely shapes product portfolio decisions and M&amp;A strategy. Community Impact (1/2): Thermo Fisher maintains corporate philanthropy programs commensurate with a $196B market cap company, though specific foundation programs or dollar amounts were not identified in research. As a 130,000-employee organization, community investment exists but is not a standout differentiator. Employee Retention (1/2): The PPI Business System — 'find a better way, every day' — serves as the cultural backbone, and Marc Casper's tenure as CEO since 2009 (17 years) demonstrates exceptional leadership stability [2]. The May 2026 leadership transition promoting Gianluca Pettiti to President/COO while Casper adds Chairman reflects orderly succession planning. Insider Buying (0/2): Net insider selling in 2026. Pettiti sold 400 shares at $462.66 in April 2026. No meaningful insider buying identified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$11.01B revenue (up 6% YoY), beating consensus of $10.85B, with adjusted EPS of $5.44 versus $5.24 consensus [1]. Full-year 2026 guidance was raised to $24.64-$25.12 adjusted EPS on $47.3B-$48.1B revenue (6-8% reported growth, 3-4% organic) [1]. The forward P/E of 18.4x is attractive relative to historical levels and sits below the 20x target. D/E of 83% reflects the acquisition-funded capital structure ($40.1B long-term debt against $51.9B equity) but remains manageable given $6.75B TTM free cash flow [3][5]. ROE of 12.8% has declined from 18.5% in 2020 due to goodwill dilution from acquisitions, and net margin of 14.8% is solid but below the 20% target. The 5-year revenue CAGR of ~5% and YoY growth of 6% reflect the post-COVID normalization from the pandemic testing surge, not structural weakness. The Forward PEG of ~2.75 (18.4x forward P/E / 6.7% EPS growth) penalizes the current moderate growth phase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Thermo Fisher operates with a genuinely long-term orientation anchored by the mission to make the world 'healthier, cleaner and safer' — a purpose that has guided its transformation from an analytical instruments company into the world's largest life sciences platform through disciplined acquisitions over two decades. Marc Casper's 17-year tenure as CEO and the PPI continuous improvement culture create organizational stability. However, the company's growth has been heavily acquisition-driven rather than organically transformative, and the serial acquisition model — while strategically coherent — reflects more operational excellence than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'Enable our customers to make the world healthier, cleaner and safer' is a genuine cause that connects the company's work to human wellbeing. It has been consistently referenced by CEO Marc Casper across 17 years of leadership and has visibly shaped strategic decisions — the acquisitions of PPD, Olink, and dozens of bolt-ons all serve this mission by expanding the company's ability to accelerate scientific discovery [2][3]. The cause has not yet been tested through a true existential crisis or multi-decade leadership transition (Casper has led the entire transformation), preventing a 3/3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PPI Business System creates a shared cultural framework across 130,000 employees — 'find a better way, every day' — and Marc Casper's 17-year tenure suggests organizational stability [2]. The orderly CEO-to-Chairman transition and Pettiti's promotion to President/COO reflect deliberate succession planning rather than disruptive leadership changes. However, as a massive organization built through serial acquisitions, cultural integration is an ongoing challenge, and no specific employee empowerment or psychological safety data distinguishes Thermo Fisher from typical large-cap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Thermo Fisher competes with Danaher, Agilent Technologies, and other life sciences companies and consistently frames competition in terms of expanding capability rather than defeating rivals. The 2026 Investor Day focused on the company's unique scale and breadth of capabilities rather than competitive destruction, and Casper's language emphasizes 'serving science' as the organizing principle rather than winning market share battles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Thermo Fisher has evolved meaningfully from a diversified analytical instruments company into the world's most comprehensive life sciences platform through strategic acquisitions (Life Technologies, Patheon, PPD, Olink) [3]. This evolution has been coherent and purpose-driven but incremental rather than transformative — the company has expanded its addressable market through bolt-ons rather than fundamentally reinventing its business model. No single pivot represented an existential bet that cannibalized the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$17.4B PPD acquisition in 2021 was a bold bet that expanded Thermo Fisher into clinical trial services, taking on significant debt to enter an adjacent market. Maintaining R&amp;D investment and M&amp;A activity through the post-COVID normalization — when revenue declined from pandemic peaks — demonstrated commitment to long-term capability over short-term optics [1][3]. The AI partnerships with NVIDIA and OpenAI in 2026 signal willingness to invest in emerging capabilities before returns are 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Thermo Fisher Scientific delivered a solid Q1 2026 with $11.01B revenue (up 6% YoY, beating consensus by $160M) and raised full-year adjusted EPS guidance to $24.64-$25.12 on $47.3B-$48.1B revenue [1]. At 18.4x forward earnings, the stock trades at its lowest forward P/E multiple in years, offering an attractive entry point for the world's leading life sciences tools franchise. The company's unmatched scale — $196B market cap, $45.2B TTM revenue, and #1-#2 positions across instruments, reagents, diagnostics, and clinical trial services — creates deep competitive moats through customer switching costs, regulatory approvals, and global distribution infrastructure [3]. The AI partnerships with NVIDIA, OpenAI, and TetraScience position Thermo Fisher at the intersection of AI and scientific discovery, potentially accelerating drug development timelines and increasing demand for the company's physical products and digital workflows [2].</w:t>
      </w:r>
    </w:p>
    <w:p>
      <w:pPr>
        <w:spacing w:after="120"/>
      </w:pPr>
      <w:r>
        <w:rPr>
          <w:rFonts w:ascii="Calibri" w:hAnsi="Calibri"/>
          <w:b w:val="0"/>
          <w:color w:val="3A4A28"/>
          <w:sz w:val="20"/>
        </w:rPr>
        <w:t>The bear case centers on moderate organic growth and acquisition integration risk. The 3-4% organic growth guidance for 2026 reflects a post-COVID normalized environment where pharma and biotech R&amp;D spending has slowed from pandemic peaks, and the 5-year revenue CAGR of ~5% includes pandemic-era volatility that obscures the true growth trajectory [1]. D/E of 83% — driven by $40.1B in long-term debt from serial acquisitions — limits financial flexibility and creates refinancing risk in a higher interest rate environment [3][5]. ROE has declined from 18.5% to 12.8% over five years as goodwill from acquisitions dilutes the equity base, raising questions about whether the M&amp;A strategy is creating or destroying economic value. The stock's 31% decline from its 52-week high despite raising guidance suggests market skepticism about the growth outlook, and a P/E re-rating lower could create further downside if organic growth fails to accelerate toward the company's mid-single-digit to high-single-digit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laboratory automation partnerships with NVIDIA, TetraScience, and OpenAI maturing into quantifiable revenue streams as biopharma customers adopt AI-native scientific workflows</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accelerating toward the high end of the 6-8% reported growth guidance as pharma R&amp;D spending recovers and GLP-1 drug development drives incremental instrument and consumables demand</w:t>
      </w:r>
    </w:p>
    <w:p>
      <w:pPr>
        <w:spacing w:before="40" w:after="40"/>
        <w:ind w:left="283"/>
      </w:pPr>
      <w:r>
        <w:rPr>
          <w:rFonts w:ascii="Calibri" w:hAnsi="Calibri"/>
          <w:b/>
          <w:color w:val="4A6B25"/>
          <w:sz w:val="20"/>
        </w:rPr>
        <w:t xml:space="preserve">3. </w:t>
      </w:r>
      <w:r>
        <w:rPr>
          <w:rFonts w:ascii="Calibri" w:hAnsi="Calibri"/>
          <w:b w:val="0"/>
          <w:color w:val="3A4A28"/>
          <w:sz w:val="20"/>
        </w:rPr>
        <w:t>Forward P/E multiple of 18.4x re-rating higher toward the historical 25-30x range as the market prices in consistent earnings growth and reduced acquisition integration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growth of 3-4% remains below the company's long-term ambition, and further deceleration in pharma R&amp;D spending or biotech funding could compress revenue growth into the low single digits</w:t>
      </w:r>
    </w:p>
    <w:p>
      <w:pPr>
        <w:spacing w:before="40" w:after="40"/>
        <w:ind w:left="283"/>
      </w:pPr>
      <w:r>
        <w:rPr>
          <w:rFonts w:ascii="Calibri" w:hAnsi="Calibri"/>
          <w:b/>
          <w:color w:val="4A6B25"/>
          <w:sz w:val="20"/>
        </w:rPr>
        <w:t xml:space="preserve">2. </w:t>
      </w:r>
      <w:r>
        <w:rPr>
          <w:rFonts w:ascii="Calibri" w:hAnsi="Calibri"/>
          <w:b w:val="0"/>
          <w:color w:val="3A4A28"/>
          <w:sz w:val="20"/>
        </w:rPr>
        <w:t>Debt load of $40.1B long-term debt ($43.2B total) creates refinancing risk and limits M&amp;A optionality — interest expense pressures free cash flow conversion in a sustained higher-rate environment</w:t>
      </w:r>
    </w:p>
    <w:p>
      <w:pPr>
        <w:spacing w:before="40" w:after="40"/>
        <w:ind w:left="283"/>
      </w:pPr>
      <w:r>
        <w:rPr>
          <w:rFonts w:ascii="Calibri" w:hAnsi="Calibri"/>
          <w:b/>
          <w:color w:val="4A6B25"/>
          <w:sz w:val="20"/>
        </w:rPr>
        <w:t xml:space="preserve">3. </w:t>
      </w:r>
      <w:r>
        <w:rPr>
          <w:rFonts w:ascii="Calibri" w:hAnsi="Calibri"/>
          <w:b w:val="0"/>
          <w:color w:val="3A4A28"/>
          <w:sz w:val="20"/>
        </w:rPr>
        <w:t>ROE compression from 18.5% to 12.8% over five years suggests diminishing returns on the serial acquisition strategy, with goodwill and intangibles now comprising the majority of the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Thermo Fisher's core business — manufacturing and selling physical scientific instruments, chemical reagents, laboratory consumables, and clinical trial services — is deeply protected from AI disruption. AI cannot replace mass spectrometers, centrifuges, cell culture media, or the physical infrastructure of drug discovery and clinical testing [3]. The company's $40B+ revenue base is overwhelmingly tied to physical products and hands-on services that require domain expertise, regulatory compliance (FDA, EMA), and global logistics infrastructure. AI actually serves as a tailwind: accelerating drug discovery increases demand for Thermo Fisher's instruments and consumables as pharmaceutical companies run more experiments faster. The primary AI risk is narrow — AI-powered laboratory automation from competitors could threaten the higher-margin digital workflow and software portions of the business. AI Opportunity (1/1): Thermo Fisher's collaborations with NVIDIA, TetraScience, and OpenAI in 2026 represent concrete AI revenue development, with AI-powered automation and AI-native data workflows being deployed into customer laboratories and biopharma R&amp;D facilities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Thermo Fisher Scientific Q1 2026 Earnings Release and Full-Year Guidance — ir.thermofisher.com, April 2026</w:t>
      </w:r>
    </w:p>
    <w:p>
      <w:pPr>
        <w:spacing w:before="20" w:after="20"/>
        <w:ind w:left="170"/>
      </w:pPr>
      <w:r>
        <w:rPr>
          <w:rFonts w:ascii="Calibri" w:hAnsi="Calibri"/>
          <w:b/>
          <w:color w:val="4A6B25"/>
          <w:sz w:val="15"/>
        </w:rPr>
        <w:t xml:space="preserve">2. </w:t>
      </w:r>
      <w:r>
        <w:rPr>
          <w:rFonts w:ascii="Calibri" w:hAnsi="Calibri"/>
          <w:b w:val="0"/>
          <w:color w:val="3A4A28"/>
          <w:sz w:val="17"/>
        </w:rPr>
        <w:t>Thermo Fisher Scientific 2026 Investor Day: AI Strategy, NVIDIA/OpenAI Partnerships, Leadership Transition — Business Wire, May 2026</w:t>
      </w:r>
    </w:p>
    <w:p>
      <w:pPr>
        <w:spacing w:before="20" w:after="20"/>
        <w:ind w:left="170"/>
      </w:pPr>
      <w:r>
        <w:rPr>
          <w:rFonts w:ascii="Calibri" w:hAnsi="Calibri"/>
          <w:b/>
          <w:color w:val="4A6B25"/>
          <w:sz w:val="15"/>
        </w:rPr>
        <w:t xml:space="preserve">3. </w:t>
      </w:r>
      <w:r>
        <w:rPr>
          <w:rFonts w:ascii="Calibri" w:hAnsi="Calibri"/>
          <w:b w:val="0"/>
          <w:color w:val="3A4A28"/>
          <w:sz w:val="17"/>
        </w:rPr>
        <w:t>Thermo Fisher Scientific FY2025 Annual Report (10-K) — SEC Filing, February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TMO AI Push and Leadership Shuffle Analysis,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TMO Key Statistics and Valuation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