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TPH</w:t>
      </w:r>
      <w:r>
        <w:rPr>
          <w:rFonts w:ascii="Calibri" w:hAnsi="Calibri"/>
          <w:b/>
          <w:color w:val="1A2010"/>
          <w:sz w:val="40"/>
        </w:rPr>
        <w:t xml:space="preserve">  Tri Pointe Homes, Inc.</w:t>
      </w:r>
    </w:p>
    <w:p>
      <w:pPr>
        <w:spacing w:after="120"/>
      </w:pPr>
      <w:r>
        <w:rPr>
          <w:rFonts w:ascii="Calibri" w:hAnsi="Calibri"/>
          <w:b/>
          <w:color w:val="6E8450"/>
          <w:sz w:val="18"/>
        </w:rPr>
        <w:t>GROWTH SLEEVE · 2026-07-14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Tri Pointe Homes, Inc. is one of the largest homebuilders in the United States, designing, constructing, and selling single-family detached and attached homes in 12 states and the District of Columbia. The company operates through regional brands including Tri Pointe Homes, Maracay, and Pardee Homes. Tri Pointe is recognized for innovative home design, premium customer experience, and sustainability practices, having been named to the Fortune 100 Best Companies to Work For list three times (including 2026) and the Fortune Most Admired Companies list twice. In February 2026, Sumitomo Forestry Co., Ltd. announced a definitive agreement to acquire Tri Pointe Homes for $47.00 per share in cash ($4.5B total). Headquartered in Incline Village, Nevada.</w:t>
      </w:r>
    </w:p>
    <w:p>
      <w:r>
        <w:rPr>
          <w:rFonts w:ascii="Calibri" w:hAnsi="Calibri"/>
          <w:b/>
          <w:color w:val="6E8450"/>
          <w:sz w:val="18"/>
        </w:rPr>
        <w:t>1,579 Employees · https://www.tripointehomes.com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 Pointe has expanded geographically from its West Coast roots into 12 states and DC, adding Central (Texas, Colorado, Utah) and East (Carolinas, Florida, DC Metro) regions with plans for 10-15% community count growth in 2026 [1]. However, this represents geographic scaling of an existing business model rather than product or business model innovation. No transformative new products or pivots occurred in the last five years. AI Deployment (0/2): No evidence of AI-powered products, services, or quantified AI-driven operational improvements was found. Homebuilding innovation at Tri Pointe focuses on design and customer experience rather than technology deployment. Market Share (1/2): Tri Pointe is one of the largest homebuilders in the U.S. by revenue ($3.25B TTM), recognized by Fortune as one of the World's Most Admired Companies [3]. However, the company competes against much larger national builders (D.R. Horton, Lennar, NVR, Toll Brothers) and does not hold category leadership or demonstrated share gains. Product Pipeline (1/2): The 10-15% community count increase planned for 2026, concentrated in Central and East regions, provides visibility into near-term growth [1]. First communities in Utah represent genuine geographic expansion. However, no specific next-generation product innovations were announced. R&amp;D Intensity (0/1): Homebuilding is not an R&amp;D-intensive industry. Tri Pointe invests in home design and customer experience but not in technology research at a level that differentiates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Tri Pointe Homes articulates a people-first culture dedicated to innovation, career growth, and creating extraordinary homebuying experiences [3]. This is specific and thoughtful — the company has clearly invested in culture as a strategic differentiator. The three-time Fortune 100 Best Companies to Work For recognition validates that this is not mere marketing — the culture is genuinely distinctive and shapes organizational behavior. The company combines "high-performance culture with genuine care for its people" through programs like one-on-one coaching, personalized development plans, and Emerging Leader programs [3]. However, the purpose has not been tested through multi-decade crisis validation, keeping it below the transformative 4/4 threshold. Community Impact (1/2): Tri Pointe has committed to environmentally responsible business practices, including energy-efficient home design and sustainable construction materials. The company was recognized for social responsibility in the Fortune Most Admired Companies evaluation [5]. No standout quantified charitable program was identified. Employee Retention (2/2): Tri Pointe's three-time recognition on the Fortune 100 Best Companies to Work For list (including 2026) provides strong evidence of above-average employee satisfaction and retention [3]. CHRO Heather Breidenthal oversees Emerging Leader programs, career pathing initiatives, and personalized development plans. The company's 1,579 employees consistently cite culture as a reason to stay — a rare distinction in the homebuilding industry, which typically has high turnover. Insider Buying (0/2): No insider buying data was identified. The pending Sumitomo Forestry acquisition at $47.00/share complicates insider transaction analysis, as insiders are restricted from trading during the merger process.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Tri Pointe's Q1 2026 results showed significant deterioration: revenue of $507.9M declined 29.8% year-over-year, operating profit of $4.2M fell 94.2%, and net income of $6.8M dropped 89.4% [1]. The homebuilding cycle downturn and the pending Sumitomo Forestry acquisition at $47.00/share create a unique analytical situation. The balance sheet is a strength: D/E of 38%, homebuilding debt-to-capital of 21.7%, and total liquidity of $1.7B (including $847.9M cash and $827.5M revolver availability) provide exceptional financial flexibility [1]. However, ROE has compressed to 5.55% and profit margin to 5.65% due to the revenue downturn and transition costs. Forward P/E of 25.59 reflects the acquisition premium rather than underlying earnings power. The stock trades at $46.95, just below the $47.00 acquisition price, effectively capping upside and rendering traditional valuation metrics less meaningful.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Tri Pointe Homes demonstrates a genuinely mixed-to-infinite mindset, distinguished from peers by its exceptional people-first culture (Fortune 100 Best Companies three times) and commitment to quality over volume. The company plays to keep playing rather than to win market share at any cost — investing in employee development, innovative design, and customer experience when many competitors optimize purely for volume and cost. However, the pending Sumitomo Forestry acquisition at $47.00/share represents a transition point: the current leadership team has agreed to sell the company, which Sinek would view as an ending rather than a continuation of the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Tri Pointe's purpose centers on creating extraordinary homebuying experiences through a people-first culture that empowers employees to innovate and grow [3]. This purpose is genuine and partially lived — the three-time Fortune 100 Best Companies recognition, two-time Most Admired Companies listing, and specific programs (Emerging Leader, career pathing, one-on-one coaching) demonstrate that leadership has connected the company's work to something bigger than quarterly earnings. The culture IS the competitive advantage. However, the pending sale to Sumitomo Forestry raises questions about purpose durability — if the Just Cause was truly transcendent, would the board sell for $47/share?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Tri Pointe's culture is the standout dimension. Three-time Fortune 100 Best Companies to Work For recognition (including 2026) provides exceptional evidence of organizational trust and psychological safety [3]. The company combines "high-performance culture with genuine care for its people," with leadership taking time to recognize and develop individuals through one-on-one coaching, personalized development plans, and the Emerging Leader program. CHRO Heather Breidenthal's role in shaping this culture is prominent. For a homebuilder — an industry notorious for high turnover and labor challenges — this level of employee satisfaction is remarkable and speaks to a Circle of Safety that Sinek would praise.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Tri Pointe's Fortune Most Admired Companies recognition is based on peer evaluations across nine performance drivers including management quality and innovativeness [5]. The company's competitive positioning emphasizes innovation and customer experience rather than volume or cost competition — "we're not trying to be the biggest, we're trying to be the best" is the cultural ethos. This infinite-minded competitive approach focuses on self-improvement rather than beating D.R. Horton or Lennar on volume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 Pointe has evolved from its 2009 founding as a West Coast-focused builder (originally TRI Pointe Group, formed from the 2014 merger of TRI Pointe Homes and WRECO/Weyerhaeuser Real Estate Company) to a national platform operating in 12 states and DC [1]. The geographic expansion into Central and East regions represents genuine strategic evolution. The decision to accept Sumitomo Forestry's $47/share acquisition offer is a significant strategic shift, though it was driven by shareholder value realization rather than a purpose-driven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Tri Pointe's leadership has demonstrated courage in investing heavily in culture and employee development — unusual for a homebuilder — even when these investments don't directly contribute to short-term earnings [3]. The decision to maintain a people-first culture through housing cycle downturns (Q1 2026 revenue down 29.8%) rather than mass layoffs shows some willingness to choose long-term capability over short-term cost savings. However, the board's decision to accept Sumitomo Forestry's acquisition at $47/share — during a cyclical trough when the company's normalized earnings power may be significantly higher — could be interpreted as prioritizing near-term shareholder value over long-term independence.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 Pointe Homes trades at $46.95, essentially at the $47.00 per share acquisition price offered by Sumitomo Forestry Co., Ltd. in the definitive agreement announced February 2026, creating a near-certain cash return with minimal downside spread [4]. The company's underlying business is anchored by one of the strongest cultures in homebuilding (Fortune 100 Best Companies to Work For three times, Most Admired Companies twice), a fortress balance sheet (38% D/E, $1.7B total liquidity), and a national platform spanning 12 states [1][3]. The 10-15% community count growth planned for 2026, concentrated in high-growth Central and East regions, positions the underlying asset for long-term appreciation under Sumitomo Forestry's ownership. The Inspire Impact Score of +65 (ALIGNED) reflects the company's genuine commitment to employee wellbeing, environmental sustainability, and ethical business practices.</w:t>
      </w:r>
    </w:p>
    <w:p>
      <w:pPr>
        <w:spacing w:after="120"/>
      </w:pPr>
      <w:r>
        <w:rPr>
          <w:rFonts w:ascii="Calibri" w:hAnsi="Calibri"/>
          <w:b w:val="0"/>
          <w:color w:val="3A4A28"/>
          <w:sz w:val="20"/>
        </w:rPr>
        <w:t>The primary investment consideration is the pending acquisition. At $46.95 vs. $47.00 offer price, there is virtually no spread or upside potential — the stock is a merger arbitrage play, not a growth investment. If the Sumitomo Forestry deal closes as expected, shareholders receive $47.00 in cash, representing a 0.1% premium to the current price [4]. Q1 2026 results are severely depressed: revenue declined 29.8% to $507.9M, operating profit fell 94.2% to $4.2M, and net income dropped 89.4% to $6.8M, reflecting both the housing cycle downturn and pre-acquisition transition effects [1]. If the deal breaks — which law firms Kahn Swick &amp; Foti and Halper Sadeh are investigating as potentially underpriced — the stock would reset to normalized homebuilder valuation levels, likely below the current price given compressed earnings [4]. The company does not pay dividends, eliminating income while waiting for the deal to close. The acquisition effectively ends the Tri Pointe independent story, converting an IOWN-aligned culture investment into a fixed cash payment.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Sumitomo Forestry acquisition closing at $47.00/share, providing a near-certain cash return that eliminates housing market and execution risk for shareholders</w:t>
      </w:r>
    </w:p>
    <w:p>
      <w:pPr>
        <w:spacing w:before="40" w:after="40"/>
        <w:ind w:left="283"/>
      </w:pPr>
      <w:r>
        <w:rPr>
          <w:rFonts w:ascii="Calibri" w:hAnsi="Calibri"/>
          <w:b/>
          <w:color w:val="4A6B25"/>
          <w:sz w:val="20"/>
        </w:rPr>
        <w:t xml:space="preserve">2. </w:t>
      </w:r>
      <w:r>
        <w:rPr>
          <w:rFonts w:ascii="Calibri" w:hAnsi="Calibri"/>
          <w:b w:val="0"/>
          <w:color w:val="3A4A28"/>
          <w:sz w:val="20"/>
        </w:rPr>
        <w:t>Community count growth of 10-15% in 2026, concentrated in high-growth Central (Texas, Colorado, Utah) and East (Carolinas, Florida) regions, building long-term asset value under Sumitomo ownership</w:t>
      </w:r>
    </w:p>
    <w:p>
      <w:pPr>
        <w:spacing w:before="40" w:after="40"/>
        <w:ind w:left="283"/>
      </w:pPr>
      <w:r>
        <w:rPr>
          <w:rFonts w:ascii="Calibri" w:hAnsi="Calibri"/>
          <w:b/>
          <w:color w:val="4A6B25"/>
          <w:sz w:val="20"/>
        </w:rPr>
        <w:t xml:space="preserve">3. </w:t>
      </w:r>
      <w:r>
        <w:rPr>
          <w:rFonts w:ascii="Calibri" w:hAnsi="Calibri"/>
          <w:b w:val="0"/>
          <w:color w:val="3A4A28"/>
          <w:sz w:val="20"/>
        </w:rPr>
        <w:t>Three-time Fortune 100 Best Companies to Work For recognition (2026) attracting top construction and design talent during an industry labor shortage, enabling premium pricing and customer satisfaction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decline of 29.8% and net income collapse of 89.4% reflect a severe housing cycle downturn that could persist if mortgage rates remain elevated, depressing underlying business value</w:t>
      </w:r>
    </w:p>
    <w:p>
      <w:pPr>
        <w:spacing w:before="40" w:after="40"/>
        <w:ind w:left="283"/>
      </w:pPr>
      <w:r>
        <w:rPr>
          <w:rFonts w:ascii="Calibri" w:hAnsi="Calibri"/>
          <w:b/>
          <w:color w:val="4A6B25"/>
          <w:sz w:val="20"/>
        </w:rPr>
        <w:t xml:space="preserve">2. </w:t>
      </w:r>
      <w:r>
        <w:rPr>
          <w:rFonts w:ascii="Calibri" w:hAnsi="Calibri"/>
          <w:b w:val="0"/>
          <w:color w:val="3A4A28"/>
          <w:sz w:val="20"/>
        </w:rPr>
        <w:t>Acquisition risk: if the Sumitomo Forestry deal breaks or is blocked by regulatory review, the stock would reset significantly lower to reflect compressed earnings (Q1 EPS $0.08 vs. $0.78 prior year)</w:t>
      </w:r>
    </w:p>
    <w:p>
      <w:pPr>
        <w:spacing w:before="40" w:after="40"/>
        <w:ind w:left="283"/>
      </w:pPr>
      <w:r>
        <w:rPr>
          <w:rFonts w:ascii="Calibri" w:hAnsi="Calibri"/>
          <w:b/>
          <w:color w:val="4A6B25"/>
          <w:sz w:val="20"/>
        </w:rPr>
        <w:t xml:space="preserve">3. </w:t>
      </w:r>
      <w:r>
        <w:rPr>
          <w:rFonts w:ascii="Calibri" w:hAnsi="Calibri"/>
          <w:b w:val="0"/>
          <w:color w:val="3A4A28"/>
          <w:sz w:val="20"/>
        </w:rPr>
        <w:t>Law firms Kahn Swick &amp; Foti and Halper Sadeh investigating whether the $47.00/share price is adequate, creating potential deal uncertainty and litigation overhang during the merger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Homebuilding is among the most AI-immune industries in existence. Tri Pointe's core business requires physical land acquisition, physical permitting processes, physical construction labor, physical building materials, and physical home inspections — none of which AI can replace or meaningfully disrupt [1]. A home cannot be 3D-printed or virtually delivered. The company's 1,579 employees manage complex local construction operations across 12 states that require on-the-ground presence, local regulatory knowledge, and physical site management. If anything, AI-driven economic growth and wealth creation increases housing demand and supports home prices. No analyst has ever identified AI as a disruption risk for homebuilders. The industry's constraints are labor availability, land costs, regulatory approvals, and interest rates — none of which are AI-disrupted. AI Opportunity (0/1): No evidence of AI-driven revenue was found. Tri Pointe may use technology for design visualization or customer experience, but no quantifiable AI revenue stream has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 Pointe Homes Q1 2026 Earnings Release — GlobeNewsWire, SEC 8-K,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TPH Key Statistics, Valuation Metrics, and Financial Ratios,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Tri Pointe Homes Fortune 100 Best Companies to Work For 2026 — GlobeNewsWire, Fortune Magazine, April 2026</w:t>
      </w:r>
    </w:p>
    <w:p>
      <w:pPr>
        <w:spacing w:before="20" w:after="20"/>
        <w:ind w:left="170"/>
      </w:pPr>
      <w:r>
        <w:rPr>
          <w:rFonts w:ascii="Calibri" w:hAnsi="Calibri"/>
          <w:b/>
          <w:color w:val="4A6B25"/>
          <w:sz w:val="15"/>
        </w:rPr>
        <w:t xml:space="preserve">4. </w:t>
      </w:r>
      <w:r>
        <w:rPr>
          <w:rFonts w:ascii="Calibri" w:hAnsi="Calibri"/>
          <w:b w:val="0"/>
          <w:color w:val="3A4A28"/>
          <w:sz w:val="17"/>
        </w:rPr>
        <w:t>Sumitomo Forestry Acquisition Agreement and Legal Investigations — BusinessWire, SEC DEFA14A, February 2026</w:t>
      </w:r>
    </w:p>
    <w:p>
      <w:pPr>
        <w:spacing w:before="20" w:after="20"/>
        <w:ind w:left="170"/>
      </w:pPr>
      <w:r>
        <w:rPr>
          <w:rFonts w:ascii="Calibri" w:hAnsi="Calibri"/>
          <w:b/>
          <w:color w:val="4A6B25"/>
          <w:sz w:val="15"/>
        </w:rPr>
        <w:t xml:space="preserve">5. </w:t>
      </w:r>
      <w:r>
        <w:rPr>
          <w:rFonts w:ascii="Calibri" w:hAnsi="Calibri"/>
          <w:b w:val="0"/>
          <w:color w:val="3A4A28"/>
          <w:sz w:val="17"/>
        </w:rPr>
        <w:t>Tri Pointe Homes Fortune Most Admired Companies 2026 — StockTitan, Fortune Magazine,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