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TPR</w:t>
      </w:r>
      <w:r>
        <w:rPr>
          <w:rFonts w:ascii="Calibri" w:hAnsi="Calibri"/>
          <w:b/>
          <w:color w:val="1A2010"/>
          <w:sz w:val="40"/>
        </w:rPr>
        <w:t xml:space="preserve">  Tapestry, Inc.</w:t>
      </w:r>
    </w:p>
    <w:p>
      <w:pPr>
        <w:spacing w:after="120"/>
      </w:pPr>
      <w:r>
        <w:rPr>
          <w:rFonts w:ascii="Calibri" w:hAnsi="Calibri"/>
          <w:b/>
          <w:color w:val="6E8450"/>
          <w:sz w:val="18"/>
        </w:rPr>
        <w:t>GROWTH SLEEVE · 2026-07-14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Luxury Goods · NYSE · United States</w:t>
      </w:r>
    </w:p>
    <w:p>
      <w:pPr>
        <w:spacing w:after="80"/>
      </w:pPr>
      <w:r>
        <w:rPr>
          <w:rFonts w:ascii="Calibri" w:hAnsi="Calibri"/>
          <w:b w:val="0"/>
          <w:color w:val="3A4A28"/>
          <w:sz w:val="20"/>
        </w:rPr>
        <w:t>Tapestry, Inc. is a global house of luxury accessories and lifestyle brands, including Coach, Kate Spade, and Stuart Weitzman. Coach, the flagship brand, accounted for approximately two-thirds of revenue in FY2026, offering handbags, wallets, footwear, and ready-to-wear. Founded in 1941 as Coach Leatherware, rebranded to Tapestry in 2017. Headquartered in New York City.</w:t>
      </w:r>
    </w:p>
    <w:p>
      <w:r>
        <w:rPr>
          <w:rFonts w:ascii="Calibri" w:hAnsi="Calibri"/>
          <w:b/>
          <w:color w:val="6E8450"/>
          <w:sz w:val="18"/>
        </w:rPr>
        <w:t>18,500 Employees · https://www.tapestry.com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Coach's brand elevation strategy has been a significant success, transforming the brand from discounted accessible luxury to modern luxury positioning. Q3 FY2026 Coach revenue surged 31% to $1.7B, with China revenue up 61% to $432M, representing a genuine strategic repositioning that opened new geographic and demographic revenue streams [1]. However, Kate Spade revenue declined 10% and Stuart Weitzman continues to struggle, indicating the transformation is concentrated in one brand. AI Deployment (1/2): Tapestry has implemented a 'Walk, Run, Fly' AI integration strategy utilizing ChatGPT and Claude across internal workflows, with CPO Denise Kulikowsky leading the initiative and Scott Roe overseeing AI adoption [6]. Internal productivity gains reported but no customer-facing AI products or quantified revenue impact. Market Share (1/2): Coach is gaining meaningful share in the accessible-to-modern luxury handbag segment, outperforming peers with 31% Q3 growth while the broader luxury market was flat to declining in key regions [1]. However, Tapestry is not a category-defining leader like LVMH or Hermes. Product Pipeline (1/2): The Coach brand momentum is expected to continue with elevated product positioning and geographic expansion, particularly in Asia. Full year FY2026 guidance raised to $7.95B (16% pro forma growth), signaling pipeline confidence [1]. R&amp;D Intensity (0/1): Luxury fashion companies invest in design and marketing rather than traditional R&amp;D. Tapestry's innovation is brand-driven, not technology-driven.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Tapestry's stated purpose is 'to stretch what's possible — for each other, for our communities, for the planet.' This is clear and connects the company's work to a broader purpose, but it is not distinctively tied to luxury fashion or deeply validated by decades of strategic consistency. It reads as thoughtful corporate language but not a transformative Just Cause [4]. Community Impact (2/2): The Tapestry Foundation achieved its $75M product and financial donation goal two years ahead of schedule. The company nearly quadrupled its investment in Gen Phoenix sustainable leather materials in 2025, and maintains active community programs through its 'Fabric of Change' corporate responsibility framework across four pillars [4]. Employee Retention (1/2): Glassdoor rating of 4.0/5 with 80% of employees recommending the company as a place to work. Some mixed reviews cite leadership concerns and work-life balance issues, but overall sentiment is adequate for the industry [3]. No specific tenure or turnover data available. Insider Buying (0/2): Clear net insider selling throughout 2026. CEO Joanne Crevoiserat sold $3.69M in stock (May 2026) and $3.16M (February 2026). Coach CEO Todd Kahn sold $6.03M (February 2026) and $2.74M (May 2026). Sales were post-option exercise but represent significant net selling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Q3 FY2026 delivered $1.92B revenue (up 21% YoY) with operating margin expanding to 22.3% from 16.0% and net income surging to $344M from $203M [1]. Full year FY2026 guidance raised to $7.95B representing 16% pro forma growth. ROE of 60.9% is exceptionally high, reflecting strong profitability amplified by a low equity base from aggressive share buybacks. Forward P/E of 17.85 is attractive relative to luxury peers and well below the 20 target. PEG of 1.33 signals reasonable valuation relative to earnings growth. Primary weakness is the D/E ratio of 575%, reflecting $3.94B in debt against $1.08B cash, with equity depleted by buybacks — this scores 0 on the D/E metric [2]. Profit margin of 8.44% TTM is depressed by FY2025 merger-related charges from the failed Capri acquisition; underlying margins are recovering sharply as evidenced by the Q3 22.3% operating margin [1]. The company is on track to return $1.6B to shareholders in FY2026.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Tapestry demonstrates mixed infinite game characteristics. The Coach brand elevation from discounted to modern luxury represents genuine long-term strategic thinking, and the company's community investment through the Tapestry Foundation signals purpose beyond profit. However, the aggressive financial engineering (massive buybacks depleting equity, high leverage), the failed Capri acquisition attempt driven by scale ambitions, and heavy insider selling by leadership suggest finite game elements. The company is operationally well-run under Crevoiserat but has not articulated or proven a Just Cause that would endure beyond the current management team.</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Tapestry's purpose of 'stretching what's possible' is aspirational but reads as corporate messaging rather than a deeply held conviction that drives strategic decisions. The failed Capri acquisition — driven by scale and market share ambitions — suggests the company's strategic decisions are guided more by competitive positioning than by an enduring cause. Coach's 1941 founding heritage provides some mission DNA around craftsmanship, but the modern holding company structure dilutes this.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4.0/5 with 80% employee recommendation suggests an adequate trust environment. Crevoiserat's leadership style has provided stability after the Jide Zeitlin departure in 2020. However, some employees report concerns about senior leadership dynamics and work-life balance [3]. The organization is stable without major cultural red flags, but there is no evidence of exceptional trust-building practices or above-average retention.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Tapestry's competitive positioning focuses on elevating Coach's brand quality and customer experience rather than explicitly targeting competitors like LVMH, Kering, or Capri Holdings (post-merger failure). Management commentary centers on Coach's brand journey and product excellence rather than market share warfare. The company's response to the failed Capri merger — pivoting to shareholder returns and organic growth — shows adaptive competitive thinking rather than a destructive win-at-all-costs mentality.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Coach's strategic repositioning from accessible/outlet-driven luxury to modern luxury represents meaningful business model evolution. The brand has moved upmarket, reduced outlet dependence, and expanded into new demographics and geographies (particularly China, where Q3 revenue surged 61%) [1]. However, this is an incremental repositioning, not a transformative company-level pivot. Tapestry remains fundamentally in the same luxury accessories business it has always been.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Crevoiserat demonstrated courage in taking over as CEO during the pandemic crisis after Zeitlin's sudden departure and stabilizing the company. The decision to elevate Coach's positioning and accept the near-term revenue risk of reducing outlet dependence showed long-term thinking. The company committed to returning $1.6B to shareholders in FY2026 after the Capri merger failed, demonstrating capital discipline [1]. However, the Capri acquisition attempt itself was a conventional scale play, and the heavy insider selling undercuts the narrative of leadership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Tapestry is delivering exceptional momentum behind Coach's brand elevation strategy, with Q3 FY2026 revenue surging 21% YoY to $1.92B and Coach specifically growing 31% to $1.7B, driven by a 61% surge in China [1]. Operating margin expanded from 16.0% to 22.3%, and the company raised full-year guidance to $7.95B in revenue representing 16% pro forma growth. Forward P/E of 17.85 is compelling for a luxury goods company delivering this growth rate, and the PEG ratio of 1.33 suggests the stock is not yet fully valued. The $1.6B shareholder return commitment in FY2026 demonstrates strong free cash flow generation and capital allocation discipline [2].</w:t>
      </w:r>
    </w:p>
    <w:p>
      <w:pPr>
        <w:spacing w:after="120"/>
      </w:pPr>
      <w:r>
        <w:rPr>
          <w:rFonts w:ascii="Calibri" w:hAnsi="Calibri"/>
          <w:b w:val="0"/>
          <w:color w:val="3A4A28"/>
          <w:sz w:val="20"/>
        </w:rPr>
        <w:t>The primary concern is concentration risk — Coach now accounts for roughly two-thirds of revenue and virtually all of the growth, while Kate Spade declined 10% and Stuart Weitzman remains marginalized [1]. Tapestry is effectively becoming a single-brand company with a holding company cost structure. The D/E ratio of 575% reflects an aggressively leveraged balance sheet with $3.94B in debt against only $1.08B in cash, creating vulnerability in a consumer slowdown [2]. The trailing P/E of 43.8 is inflated by FY2025 merger-related charges from the failed Capri acquisition, but net profit margin of 8.44% TTM remains below luxury peers. Heavy insider selling by CEO Crevoiserat ($6.8M in 2026) and Coach CEO Kahn ($8.8M) signals that leadership may view the stock as fairly valued at current levels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Coach brand momentum accelerating with 31% Q3 growth and 61% China expansion, with FY2027 guidance expected to sustain double-digit growth as the brand's global elevation strategy continues gaining traction</w:t>
      </w:r>
    </w:p>
    <w:p>
      <w:pPr>
        <w:spacing w:before="40" w:after="40"/>
        <w:ind w:left="283"/>
      </w:pPr>
      <w:r>
        <w:rPr>
          <w:rFonts w:ascii="Calibri" w:hAnsi="Calibri"/>
          <w:b/>
          <w:color w:val="4A6B25"/>
          <w:sz w:val="20"/>
        </w:rPr>
        <w:t xml:space="preserve">2. </w:t>
      </w:r>
      <w:r>
        <w:rPr>
          <w:rFonts w:ascii="Calibri" w:hAnsi="Calibri"/>
          <w:b w:val="0"/>
          <w:color w:val="3A4A28"/>
          <w:sz w:val="20"/>
        </w:rPr>
        <w:t>Margin expansion from 16.0% to 22.3% operating margin in Q3 FY2026 with further upside as Coach mix shift and cost discipline drive profitability closer to luxury peer levels</w:t>
      </w:r>
    </w:p>
    <w:p>
      <w:pPr>
        <w:spacing w:before="40" w:after="40"/>
        <w:ind w:left="283"/>
      </w:pPr>
      <w:r>
        <w:rPr>
          <w:rFonts w:ascii="Calibri" w:hAnsi="Calibri"/>
          <w:b/>
          <w:color w:val="4A6B25"/>
          <w:sz w:val="20"/>
        </w:rPr>
        <w:t xml:space="preserve">3. </w:t>
      </w:r>
      <w:r>
        <w:rPr>
          <w:rFonts w:ascii="Calibri" w:hAnsi="Calibri"/>
          <w:b w:val="0"/>
          <w:color w:val="3A4A28"/>
          <w:sz w:val="20"/>
        </w:rPr>
        <w:t>Shareholder return program of $1.6B in FY2026 through buybacks and dividends, with potential for increased returns as free cash flow expands from higher-margin Coach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Single-brand concentration risk as Coach drives virtually all growth while Kate Spade declines 10% and Stuart Weitzman stagnates, making Tapestry increasingly a one-brand company with multi-brand overhead</w:t>
      </w:r>
    </w:p>
    <w:p>
      <w:pPr>
        <w:spacing w:before="40" w:after="40"/>
        <w:ind w:left="283"/>
      </w:pPr>
      <w:r>
        <w:rPr>
          <w:rFonts w:ascii="Calibri" w:hAnsi="Calibri"/>
          <w:b/>
          <w:color w:val="4A6B25"/>
          <w:sz w:val="20"/>
        </w:rPr>
        <w:t xml:space="preserve">2. </w:t>
      </w:r>
      <w:r>
        <w:rPr>
          <w:rFonts w:ascii="Calibri" w:hAnsi="Calibri"/>
          <w:b w:val="0"/>
          <w:color w:val="3A4A28"/>
          <w:sz w:val="20"/>
        </w:rPr>
        <w:t>D/E ratio of 575% creates significant balance sheet vulnerability in a consumer downturn or credit market disruption, with $3.94B in debt and limited equity cushion from aggressive buybacks</w:t>
      </w:r>
    </w:p>
    <w:p>
      <w:pPr>
        <w:spacing w:before="40" w:after="40"/>
        <w:ind w:left="283"/>
      </w:pPr>
      <w:r>
        <w:rPr>
          <w:rFonts w:ascii="Calibri" w:hAnsi="Calibri"/>
          <w:b/>
          <w:color w:val="4A6B25"/>
          <w:sz w:val="20"/>
        </w:rPr>
        <w:t xml:space="preserve">3. </w:t>
      </w:r>
      <w:r>
        <w:rPr>
          <w:rFonts w:ascii="Calibri" w:hAnsi="Calibri"/>
          <w:b w:val="0"/>
          <w:color w:val="3A4A28"/>
          <w:sz w:val="20"/>
        </w:rPr>
        <w:t>Heavy insider selling by CEO Crevoiserat and Coach CEO Kahn totaling over $15M in first half of 2026 raises questions about leadership's conviction in continued stock appreciation at current valuations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Tapestry's core business — designing, manufacturing, and selling luxury leather goods, handbags, footwear, and accessories — is fundamentally protected from AI disruption. Physical product creation, brand heritage (Coach founded 1941), retail store experiences, and the emotional/status value of luxury goods cannot be replicated by AI [1]. The fashion design process requires human creativity and cultural intuition that AI can augment but not replace. Supply chain management for leather goods and global retail operations involve physical-world complexity. However, AI tools are beginning to impact fashion design workflows, personalized marketing, and e-commerce conversion optimization — areas where Tapestry competes. Digital marketing efficiency gains from AI could benefit or challenge the company depending on adoption pace relative to peers. AI Opportunity (0/1): Tapestry utilizes AI internally through its 'Walk, Run, Fly' strategy with ChatGPT and Claude integration across workflows [6], but does not generate revenue from AI products or services. The AI usage is purely operational efficiency, not a revenue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Tapestry Q3 FY2026 Earnings Release — Coach Drives 23% Revenue Surge, Outlook Raised, May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TPR Key Statistics and Financial Ratios,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Tapestry CEO Leadership and Culture — Fortune, Glassdoor Reviews, 2025-2026</w:t>
      </w:r>
    </w:p>
    <w:p>
      <w:pPr>
        <w:spacing w:before="20" w:after="20"/>
        <w:ind w:left="170"/>
      </w:pPr>
      <w:r>
        <w:rPr>
          <w:rFonts w:ascii="Calibri" w:hAnsi="Calibri"/>
          <w:b/>
          <w:color w:val="4A6B25"/>
          <w:sz w:val="15"/>
        </w:rPr>
        <w:t xml:space="preserve">4. </w:t>
      </w:r>
      <w:r>
        <w:rPr>
          <w:rFonts w:ascii="Calibri" w:hAnsi="Calibri"/>
          <w:b w:val="0"/>
          <w:color w:val="3A4A28"/>
          <w:sz w:val="17"/>
        </w:rPr>
        <w:t>Tapestry Corporate Responsibility Strategy — BusinessWire, Fabric of Change Framework, January 2024</w:t>
      </w:r>
    </w:p>
    <w:p>
      <w:pPr>
        <w:spacing w:before="20" w:after="20"/>
        <w:ind w:left="170"/>
      </w:pPr>
      <w:r>
        <w:rPr>
          <w:rFonts w:ascii="Calibri" w:hAnsi="Calibri"/>
          <w:b/>
          <w:color w:val="4A6B25"/>
          <w:sz w:val="15"/>
        </w:rPr>
        <w:t xml:space="preserve">5. </w:t>
      </w:r>
      <w:r>
        <w:rPr>
          <w:rFonts w:ascii="Calibri" w:hAnsi="Calibri"/>
          <w:b w:val="0"/>
          <w:color w:val="3A4A28"/>
          <w:sz w:val="17"/>
        </w:rPr>
        <w:t>Tapestry Insider Trading Activity — TipRanks, Investing.com, SEC Form 4 Filings, 2026</w:t>
      </w:r>
    </w:p>
    <w:p>
      <w:pPr>
        <w:spacing w:before="20" w:after="20"/>
        <w:ind w:left="170"/>
      </w:pPr>
      <w:r>
        <w:rPr>
          <w:rFonts w:ascii="Calibri" w:hAnsi="Calibri"/>
          <w:b/>
          <w:color w:val="4A6B25"/>
          <w:sz w:val="15"/>
        </w:rPr>
        <w:t xml:space="preserve">6. </w:t>
      </w:r>
      <w:r>
        <w:rPr>
          <w:rFonts w:ascii="Calibri" w:hAnsi="Calibri"/>
          <w:b w:val="0"/>
          <w:color w:val="3A4A28"/>
          <w:sz w:val="17"/>
        </w:rPr>
        <w:t>Tapestry AI Strategy — The Future Organization Interview with CPO Denise Kulikowsky,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