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w:t>
      </w:r>
      <w:r>
        <w:rPr>
          <w:rFonts w:ascii="Calibri" w:hAnsi="Calibri"/>
          <w:b/>
          <w:color w:val="1A2010"/>
          <w:sz w:val="40"/>
        </w:rPr>
        <w:t xml:space="preserve">  Thomson Reuters Corporation</w:t>
      </w:r>
    </w:p>
    <w:p>
      <w:pPr>
        <w:spacing w:after="120"/>
      </w:pPr>
      <w:r>
        <w:rPr>
          <w:rFonts w:ascii="Calibri" w:hAnsi="Calibri"/>
          <w:b/>
          <w:color w:val="6E8450"/>
          <w:sz w:val="18"/>
        </w:rPr>
        <w:t>DIVIDEND SLEEVE · 2026-07-12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Canada</w:t>
      </w:r>
    </w:p>
    <w:p>
      <w:pPr>
        <w:spacing w:after="80"/>
      </w:pPr>
      <w:r>
        <w:rPr>
          <w:rFonts w:ascii="Calibri" w:hAnsi="Calibri"/>
          <w:b w:val="0"/>
          <w:color w:val="3A4A28"/>
          <w:sz w:val="20"/>
        </w:rPr>
        <w:t>Thomson Reuters Corporation is a global content and technology company providing news, information, and AI-powered software solutions to legal, tax, accounting, compliance, and government professionals. The company operates through Legal Professionals, Corporates, Tax &amp; Accounting Professionals, Reuters News, and Global Print segments, with approximately 85% recurring revenue. The Woodbridge Company (Thomson family) holds ~67% controlling interest. Founded through the 2008 merger of Thomson Corporation and Reuters Group, headquartered in Toronto, Canada.</w:t>
      </w:r>
    </w:p>
    <w:p>
      <w:r>
        <w:rPr>
          <w:rFonts w:ascii="Calibri" w:hAnsi="Calibri"/>
          <w:b/>
          <w:color w:val="6E8450"/>
          <w:sz w:val="18"/>
        </w:rPr>
        <w:t>26,500 Employees · https://www.thomsonreuters.com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Thomson Reuters acquired CaseText (~$650M, 2023) to build AI-first legal research capabilities and Pagero (~$800M, 2024) to create an e-invoicing network, representing significant expansions into AI and digital infrastructure for professional services [1][3]. Built a proprietary legal-domain foundation model rather than relying solely on third-party LLMs, differentiating from competitors. Multiple successful launches but not a complete company reinvention at NVDA scale. AI Deployment (2/2): CoCounsel AI legal assistant is shipping to customers and generating measurable engagement across Westlaw Edge, with AI-powered features integrated into ONESOURCE tax and regulatory compliance products; AI-enabled products now represent a meaningful and growing share of annualized contract value [1][3]. Market Share (2/2): Westlaw is the dominant global legal research platform, ONESOURCE leads in corporate tax software, and Reuters News maintains premium positioning with the Big 3 segments growing 9% organically in Q1 2026 — #1 or #2 share in each core vertical [1]. Product Pipeline (1/2): CoCounsel expansion, next-gen AI for tax professionals, and agentic AI assistants are in development, but specific product launch dates and revenue targets were not disclosed beyond the 7.5-8% organic growth guidance [1]. R&amp;D Intensity (1/1): $500M+ cumulative AI investment plus multi-billion acquisition spend on AI capabilities exceeds professional services peers; proprietary foundation model development represents above-industry R&amp;D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Thomson Reuters' purpose — 'to inform the way forward' — is specific and thoughtful, connecting information services to enabling better decisions by professionals in law, tax, and compliance [3]. The purpose differentiates from generic statements and clearly shapes product strategy (AI-powered professional tools, curated legal content). Under CEO Hasker it has been sharpened around trust and accuracy. However, it lacks the multi-decade transformative validation of a top-tier Just Cause. Community Impact (1/2): Thomson Reuters Foundation operates independently with programs focused on media freedom, access to justice, and inclusive economies, and the company publishes comprehensive ESG reporting — above-average but not distinctive-at-scale philanthropy [4]. Employee Retention (0/2): Glassdoor reviews indicate mixed culture with annual layoffs cited as a recurring concern, organizational silos between segments limiting cross-collaboration, and no specific voluntary turnover or average tenure data disclosed [3]. Insider Buying (0/2): CEO Steve Hasker holds equity-based compensation and the Woodbridge Company (Thomson family) maintains its ~67% controlling stake, but no meaningful net insider buying by executives in the last 12 months was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$2,087M revenue (up 10% YoY) with adjusted EBITDA margin of 42.2%, net earnings of $459M, and free cash flow of $332M (+19% YoY) with full-year 2026 FCF guidance of ~$2.1B [1]. D/E of 22.9% is well below the 70% target with net debt of $2.3B against conservative leverage of 0.8x [1]. ROE of 12.7% falls slightly below the 15% target but is adequate for an information services model [5]. Forward P/E of 19.7 is near the 20 target, and profit margin of 20.1% meets the target threshold [5]. Payout ratio of 73.1% is elevated relative to the 40% target, penalizing the score, but 33 consecutive years of dividend increases (including five consecutive 10%+ raises to $2.62 annualized) and a ~10% 5-year dividend growth CAGR provide exceptional income growth visibility [1]. The 5-year revenue CAGR of ~5.5% falls below the 10% target, reflecting the mature growth profile before recent AI-driven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Thomson Reuters under CEO Steve Hasker demonstrates meaningful infinite game qualities — the company has invested $500M+ in AI transformation at near-term margin cost, maintained a 33-year dividend growth streak through multiple economic cycles, and sold off the Refinitiv business to focus on professional information services. The Woodbridge Company (Thomson family) ~67% controlling stake provides multi-generational patient capital. However, the culture shows finite-game tendencies in annual restructuring cycles and organizational silos.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Thomson Reuters' purpose of informing the way forward connects its information services business to enabling better professional decisions in law, tax, and compliance, with roots tracing to Reuters' founding in 1851 and Thomson Corporation in 1934 [3]. Under Hasker, the purpose has been sharpened around AI-enabled trust infrastructure. Strategic decisions — selling Refinitiv, acquiring CaseText, building proprietary AI models — trace back to this purpose. However, the cause hasn't been tested through the kind of existential crisis that validates Sinek's top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Hasker's leadership since 2020 has been stable, with early executive perk cuts setting a humble-leadership tone, and the company ran an enterprise-wide AI learning day to upskill 26,500 employees rather than deploying AI through fear-based restructuring [3]. However, Glassdoor reviews cite annual layoffs as part of the culture, organizational silos between segments hindering cross-collaboration, and a general sense that trust varies by team [3].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Thomson Reuters competes primarily with RELX (LexisNexis) and Wolters Kluwer, and management frames the 'build, partner, buy' AI strategy as a response to how LLMs are transforming professional information access — a Sinek-style acknowledgment that rivals are pushing Thomson Reuters to improve [3]. The decision to invest in a proprietary legal AI model rather than copying competitors' approaches reflects using rivals' strengths to clarify its own differentiated path.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Thomson Reuters executed a significant strategic pivot by selling 55% of its Financial &amp; Risk business to Refinitiv/Blackstone in 2018 ($17B), fundamentally reshaping the company from a diversified media conglomerate into a focused professional information services and technology company [1]. The current pivot to AI-native workflow tools represents further evolution. However, neither transformation was driven by purpose in the Sinek sense — the Refinitiv sale was primarily financial engineering.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Hasker committed $500M+ to AI product development and billions on acquisitions (CaseText, Pagero) while maintaining 100bps EBITDA margin expansion and a 10% annual dividend increase streak [1][3]. The willingness to invest heavily during a period of AI uncertainty demonstrates confidence in the long-term strategy. However, these are bets made from a position of financial strength ($2.1B annual FCF) with the Thomson family providing patient capital backing, reducing the relative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Thomson Reuters delivered strong Q1 2026 results with revenue up 10% to $2,087M, adjusted EBITDA margin of 42.2%, net earnings of $459M, and free cash flow of $332M (+19% YoY), reaffirming full-year guidance of 7.5-8% organic growth and ~$2.1B FCF [1]. The Big 3 segments grew 9% organically, driven by AI-powered products including CoCounsel legal AI and embedded AI across Westlaw and ONESOURCE [1][3]. With a 33-year consecutive dividend increase streak (five straight 10% raises), conservative D/E of 22.9%, and dominant market share in legal and tax professional services, Thomson Reuters offers a compelling combination of income growth visibility and AI-driven business transformation. The Woodbridge Company (Thomson family) ~67% controlling stake provides multi-generational patient capital unique among public companies.</w:t>
      </w:r>
    </w:p>
    <w:p>
      <w:pPr>
        <w:spacing w:after="120"/>
      </w:pPr>
      <w:r>
        <w:rPr>
          <w:rFonts w:ascii="Calibri" w:hAnsi="Calibri"/>
          <w:b w:val="0"/>
          <w:color w:val="3A4A28"/>
          <w:sz w:val="20"/>
        </w:rPr>
        <w:t>At 25.5x trailing earnings and Forward P/E of 19.7, Thomson Reuters trades at a premium for a company with only 5.5% 5-year revenue CAGR and 12.7% ROE — the AI-driven growth acceleration to 8-10% organic is encouraging but has not yet proven sustainable across economic cycles [5]. The elevated payout ratio of 73.1% limits capital allocation flexibility between dividends, buybacks, and M&amp;A at a time when AI investment demands significant ongoing spending. While the CoCounsel AI strategy differentiates from competitors, RELX (LexisNexis) and Wolters Kluwer are making parallel AI investments, and AI-native legal-tech competitors (Harvey, Hebbia) target the Westlaw workflow layer [3]. CEO Hasker himself has publicly framed the 'expensive content retaining value' question as the central strategic challenge, acknowledging the medium-term risk from generalist AI platforms commoditizing basic professional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monetization through CoCounsel and embedded AI features driving organic growth acceleration from historical 5-6% toward the 8-10% range, with AI-enabled products becoming a growing share of annualized contract value [1][3]</w:t>
      </w:r>
    </w:p>
    <w:p>
      <w:pPr>
        <w:spacing w:before="40" w:after="40"/>
        <w:ind w:left="283"/>
      </w:pPr>
      <w:r>
        <w:rPr>
          <w:rFonts w:ascii="Calibri" w:hAnsi="Calibri"/>
          <w:b/>
          <w:color w:val="4A6B25"/>
          <w:sz w:val="20"/>
        </w:rPr>
        <w:t xml:space="preserve">2. </w:t>
      </w:r>
      <w:r>
        <w:rPr>
          <w:rFonts w:ascii="Calibri" w:hAnsi="Calibri"/>
          <w:b w:val="0"/>
          <w:color w:val="3A4A28"/>
          <w:sz w:val="20"/>
        </w:rPr>
        <w:t>Free cash flow generation of ~$2.1B in 2026 supporting the 34th consecutive annual dividend increase alongside share repurchases ($262M in Q1) and bolt-on AI acquisitions [1]</w:t>
      </w:r>
    </w:p>
    <w:p>
      <w:pPr>
        <w:spacing w:before="40" w:after="40"/>
        <w:ind w:left="283"/>
      </w:pPr>
      <w:r>
        <w:rPr>
          <w:rFonts w:ascii="Calibri" w:hAnsi="Calibri"/>
          <w:b/>
          <w:color w:val="4A6B25"/>
          <w:sz w:val="20"/>
        </w:rPr>
        <w:t xml:space="preserve">3. </w:t>
      </w:r>
      <w:r>
        <w:rPr>
          <w:rFonts w:ascii="Calibri" w:hAnsi="Calibri"/>
          <w:b w:val="0"/>
          <w:color w:val="3A4A28"/>
          <w:sz w:val="20"/>
        </w:rPr>
        <w:t>Big 3 segment growth — Legal 8-9%, Corporates 9-11%, Tax/Audit/Accounting 11-13% — demonstrating the AI-enhanced workflow value proposition is gaining traction in enterprise budgets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73.1% is elevated and could constrain the company's ability to simultaneously fund AI investment, dividend growth, and share buybacks if organic growth decelerates below the 7.5% guidance floor</w:t>
      </w:r>
    </w:p>
    <w:p>
      <w:pPr>
        <w:spacing w:before="40" w:after="40"/>
        <w:ind w:left="283"/>
      </w:pPr>
      <w:r>
        <w:rPr>
          <w:rFonts w:ascii="Calibri" w:hAnsi="Calibri"/>
          <w:b/>
          <w:color w:val="4A6B25"/>
          <w:sz w:val="20"/>
        </w:rPr>
        <w:t xml:space="preserve">2. </w:t>
      </w:r>
      <w:r>
        <w:rPr>
          <w:rFonts w:ascii="Calibri" w:hAnsi="Calibri"/>
          <w:b w:val="0"/>
          <w:color w:val="3A4A28"/>
          <w:sz w:val="20"/>
        </w:rPr>
        <w:t>AI-native legal-tech competitors (Harvey, Hebbia) and generalist AI platforms (OpenAI, Google Gemini) could commoditize basic legal research functions, pressuring Westlaw's entry-level product tier and forcing pricing concessions [3]</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only 5.5% reflects a historically mature growth profile — if the AI-driven acceleration proves temporary, the premium valuation at 25.5x trailing earnings becomes difficult to sustain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Thomson Reuters' core business is structurally protected from AI disruption — proprietary, curated legal and regulatory content (Westlaw, Practical Law, Checkpoint) requires editorial accuracy, citation authority, and regulatory compliance that generalist AI models cannot replicate [1][3]. Legal and tax professionals require authoritative, citable sources with guaranteed accuracy, and the company's deep workflow integration creates prohibitive switching costs. CEO Hasker has explicitly framed the 'expensive content retaining value' question as the core strategic challenge, demonstrating management awareness and proactive response with $500M+ AI investment [3]. However, AI-native legal-tech competitors (Harvey, Hebbia) and generalist platforms (OpenAI, Google) could commoditize basic legal research at the entry-level product tier over the medium term. AI Opportunity (1/1): CoCounsel AI legal assistant generates revenue and drives product differentiation, with AI features embedded across the Big 3 segments contributing to 9% organic growth; the proprietary legal foundation model creates a defensible AI capability moat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Thomson Reuters Q1 2026 Earnings Release — $2,087M revenue (+10%), Big 3 organic growth 9%, adjusted EBITDA $881M (42.2% margin), FCF $332M (+19%), 2026 guidance reaffirmed, ir.thomsonreuters.com, May 2026</w:t>
      </w:r>
    </w:p>
    <w:p>
      <w:pPr>
        <w:spacing w:before="20" w:after="20"/>
        <w:ind w:left="170"/>
      </w:pPr>
      <w:r>
        <w:rPr>
          <w:rFonts w:ascii="Calibri" w:hAnsi="Calibri"/>
          <w:b/>
          <w:color w:val="4A6B25"/>
          <w:sz w:val="15"/>
        </w:rPr>
        <w:t xml:space="preserve">2. </w:t>
      </w:r>
      <w:r>
        <w:rPr>
          <w:rFonts w:ascii="Calibri" w:hAnsi="Calibri"/>
          <w:b w:val="0"/>
          <w:color w:val="3A4A28"/>
          <w:sz w:val="17"/>
        </w:rPr>
        <w:t>Thomson Reuters Full-Year 2025 Results — $7.476B revenue (+3%), adjusted EBITDA margin 39.2%, FCF $1.95B, 33rd consecutive dividend increase, ir.thomsonreuters.com, February 2026</w:t>
      </w:r>
    </w:p>
    <w:p>
      <w:pPr>
        <w:spacing w:before="20" w:after="20"/>
        <w:ind w:left="170"/>
      </w:pPr>
      <w:r>
        <w:rPr>
          <w:rFonts w:ascii="Calibri" w:hAnsi="Calibri"/>
          <w:b/>
          <w:color w:val="4A6B25"/>
          <w:sz w:val="15"/>
        </w:rPr>
        <w:t xml:space="preserve">3. </w:t>
      </w:r>
      <w:r>
        <w:rPr>
          <w:rFonts w:ascii="Calibri" w:hAnsi="Calibri"/>
          <w:b w:val="0"/>
          <w:color w:val="3A4A28"/>
          <w:sz w:val="17"/>
        </w:rPr>
        <w:t>Thomson Reuters AI Innovation Strategy — CoCounsel, proprietary legal foundation model, $500M+ AI investment, 'build, partner, buy' framework — Entrepreneur, ITPro, Acuity Magazine, 2025-2026</w:t>
      </w:r>
    </w:p>
    <w:p>
      <w:pPr>
        <w:spacing w:before="20" w:after="20"/>
        <w:ind w:left="170"/>
      </w:pPr>
      <w:r>
        <w:rPr>
          <w:rFonts w:ascii="Calibri" w:hAnsi="Calibri"/>
          <w:b/>
          <w:color w:val="4A6B25"/>
          <w:sz w:val="15"/>
        </w:rPr>
        <w:t xml:space="preserve">4. </w:t>
      </w:r>
      <w:r>
        <w:rPr>
          <w:rFonts w:ascii="Calibri" w:hAnsi="Calibri"/>
          <w:b w:val="0"/>
          <w:color w:val="3A4A28"/>
          <w:sz w:val="17"/>
        </w:rPr>
        <w:t>Steve Hasker CEO Leadership, Corporate Culture, and Thomson Reuters Foundation — Glassdoor reviews, The Logic,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TRI Key Statistics: stock price $83.87, Forward P/E 19.68, PEG 1.28, D/E 22.85%, ROE 12.73%, profit margin 20.09%,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