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TRMB</w:t>
      </w:r>
      <w:r>
        <w:rPr>
          <w:rFonts w:ascii="Calibri" w:hAnsi="Calibri"/>
          <w:b/>
          <w:color w:val="1A2010"/>
          <w:sz w:val="40"/>
        </w:rPr>
        <w:t xml:space="preserve">  Trimble Inc.</w:t>
      </w:r>
    </w:p>
    <w:p>
      <w:pPr>
        <w:spacing w:after="120"/>
      </w:pPr>
      <w:r>
        <w:rPr>
          <w:rFonts w:ascii="Calibri" w:hAnsi="Calibri"/>
          <w:b/>
          <w:color w:val="6E8450"/>
          <w:sz w:val="18"/>
        </w:rPr>
        <w:t>GROWTH SLEEVE · 2026-07-18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Trimble Inc. provides positioning, modeling, and connected-workflow technology that links the physical and digital worlds for construction, geospatial, agriculture, and transportation customers. Originally a GPS hardware pioneer, the company has transformed into a software- and services-led platform (79% of revenue) spanning architecture/BIM design tools, construction management, field data collection, and AI-powered products such as SketchUp AI and the Document Crunch construction-document analysis acquisition. Headquartered in Westminster, Colorado.</w:t>
      </w:r>
    </w:p>
    <w:p>
      <w:r>
        <w:rPr>
          <w:rFonts w:ascii="Calibri" w:hAnsi="Calibri"/>
          <w:b/>
          <w:color w:val="6E8450"/>
          <w:sz w:val="18"/>
        </w:rPr>
        <w:t>11,500 Employees · https://www.trimble.com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Trimble has executed a multi-year transformation from hardware-led GPS/positioning sales to a software- and services-led model now generating 79% of revenue at a record 74.6% gross margin, while actively evaluating a sale of its legacy logistics/Transportation hardware unit to sharpen focus [1][7]. AI Deployment (2/2): SketchUp AI and autonomous procurement/quotation tools already generate consumption-based revenue, and the Document Crunch acquisition establishes a new AI-powered construction risk-management category, with management citing AI as a driver of the Q1 2026 earnings beat [3]. Market Share Leadership (1/2): Trimble is a top-tier player in geospatial and AECO software but faces entrenched competitors including Hexagon, Topcon, Leica Geosystems, ESRI, and Autodesk, without a clearly documented category-leading share figure [7]. Product Pipeline (2/2): Management guided FY2026 organic ARR growth of 12-14% and raised full-year revenue guidance to $3.84-3.92 billion, with AI-powered solutions (SketchUp AI, Document Crunch) named as specific near-term growth drivers [1][3]. R&amp;D Intensity (0/1): No R&amp;D-to-revenue disclosure relative to software/instrumentation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Trimble's 'Transforming the way the world works' mission and 'Belong, Innovate, Grow' values are clear and referenced by CEO Rob Painter in describing the company's data-connection strategy, but the tagline itself is fairly generic for a technology company [4]. Community Impact (1/2): Trimble organizes ESG efforts around five pillars (Solutions, People, Communities, Environment, Governance) and ties executive compensation to a 'People &amp; Planet' modifier for carbon reduction and workforce diversity, but no specific community program dollar amounts were found [5]. Employee Retention (2/2): Glassdoor shows an 88% CEO approval rating for Rob Painter, with culture &amp; values, diversity &amp; inclusion, and work/life balance all rated 4.0/5 and a 69% positive business outlook — well above average, specific, positive data [4]. Insider Buying (0/2): Insiders sold $1.1 million in shares over the last three months with no purchases, and have sold a net $7.0 million more than they bought over the trailing 12 months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growth/non-dividend stock. D/E of 25% and Forward P/E of 14.35 both cap at the maximum 1.0 score, and Q1 2026 revenue growth of 12% YoY also caps at 1.0 [1][6]. ROE of 8.25% (0.55) and profit margin of 12.37% (0.62) score moderately, while Forward PEG of 1.43 scores well at 0.79 (2x weight). The 5-year revenue CAGR is roughly flat at -0.5% (from $3.66B in FY2021 to $3.59B in FY2025), reflecting years of portfolio divestitures during the software transition rather than organic decline — this scores just 0.30 (2x weight) and is the main drag on an otherwise strong composite. Liquidity is not a concern: ~3.0 million average daily shares at $52.72 implies roughly $159 million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Trimble has reinvented itself multiple times across nearly five decades — from GPS hardware pioneer to precision agriculture to construction/AECO software and now an AI-powered platform — while shifting its revenue mix from hardware to 79% software and services. Strong, specific employee-culture data (88% CEO approval, 4.0/5 across culture, D&amp;I, and work/life balance) and a willingness to divest legacy hardware businesses to fund the AI-software transition point to a company built for durability rather than quarterly optics.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thread of 'connecting the physical and digital worlds' has persisted across Trimble's GPS, precision-agriculture, construction-software, and now AI eras since 1978, referenced by CEO Rob Painter in describing the strategy of 'integrating data to create workflows that unlock customer productivity,' though the current 'Transforming the way the world works' tagline itself reads as fairly generic tech marketing [1][4].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An 88% CEO approval rating alongside 4.0/5 ratings for culture &amp; values, diversity &amp; inclusion, and work/life balance, plus a 69% positive business outlook, reflect specific, above-average evidence of employee trust and empowerment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in which Trimble leadership frames competitors such as Hexagon, Topcon, Leica, ESRI, or Autodesk as sources of learning or improvement; third-party sources describe the competitive landscape but not Trimble's own framing of it.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Trimble has fundamentally reinvented its business model at least twice — from hardware-centric GPS/positioning sales to precision agriculture and construction software, and now shifting revenue mix to 79% software/services with AI as the next growth vector, including evaluating the sale of its legacy Transportation/logistics hardware unit [1][7].</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Actively pursuing a sale of the legacy logistics/Transportation hardware business — a real, profitable unit — to sharpen focus on higher-margin software and AI reflects a pattern of prioritizing long-term platform capability over near-term revenue comfort, reinforced by continued investment in AI products like SketchUp AI and the Document Crunch acquisition [1][3][7].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Trimble has successfully transitioned from a hardware-led positioning company into a software- and AI-powered platform, with software/services now 79% of revenue at a record 74.6% gross margin. Q1 2026 revenue grew 12% YoY to $939.9 million with net income up 48%, beating estimates, and management raised full-year 2026 guidance to $3.84-3.92 billion in revenue with organic ARR growth guided at 12-14% [1][2]. AI is a live growth driver, not just a narrative: SketchUp AI and autonomous procurement/quotation tools already generate consumption-based revenue, and the Document Crunch acquisition opens a new AI-powered construction risk-management category, while an 88% CEO approval rating and strong culture scores (4.0/5 across culture, D&amp;I, and work/life balance) suggest an organization capable of executing the transition [3][4].</w:t>
      </w:r>
    </w:p>
    <w:p>
      <w:pPr>
        <w:spacing w:after="120"/>
      </w:pPr>
      <w:r>
        <w:rPr>
          <w:rFonts w:ascii="Calibri" w:hAnsi="Calibri"/>
          <w:b w:val="0"/>
          <w:color w:val="3A4A28"/>
          <w:sz w:val="20"/>
        </w:rPr>
        <w:t>The bear case centers on valuation and competitive AI risk. Trailing P/E of 27.5x sits well above the 14.35x forward multiple, implying the market is pricing continued margin expansion that has yet to fully materialize, and the 5-year revenue CAGR is roughly flat (-0.5%) reflecting years of portfolio restructuring [6]. Analysts have explicitly flagged that AI-native, venture-backed construction-tech startups could compress Trimble's software margins and erode its incumbent position faster than the AI-product pipeline can offset, and insiders have sold a net $7.0 million more than they bought over the past 12 months with no offsetting purchases [7]. JPMorgan cut its price target to $75 in July 2026, and the stock's 52-week range of $47.92-$87.50 reflects meaningful uncertainty about the pace and durability of the AI-driven reacceleration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organic ARR growth guidance of 12-14% and raised revenue guidance to $3.84-3.92 billion, with AI products (SketchUp AI, Document Crunch) as named growth drivers</w:t>
      </w:r>
    </w:p>
    <w:p>
      <w:pPr>
        <w:spacing w:before="40" w:after="40"/>
        <w:ind w:left="283"/>
      </w:pPr>
      <w:r>
        <w:rPr>
          <w:rFonts w:ascii="Calibri" w:hAnsi="Calibri"/>
          <w:b/>
          <w:color w:val="4A6B25"/>
          <w:sz w:val="20"/>
        </w:rPr>
        <w:t xml:space="preserve">2. </w:t>
      </w:r>
      <w:r>
        <w:rPr>
          <w:rFonts w:ascii="Calibri" w:hAnsi="Calibri"/>
          <w:b w:val="0"/>
          <w:color w:val="3A4A28"/>
          <w:sz w:val="20"/>
        </w:rPr>
        <w:t>Potential sale of the legacy Transportation/logistics hardware unit, which would sharpen the portfolio toward higher-margin software and AI and could unlock capital for further AI investment or buybacks</w:t>
      </w:r>
    </w:p>
    <w:p>
      <w:pPr>
        <w:spacing w:before="40" w:after="40"/>
        <w:ind w:left="283"/>
      </w:pPr>
      <w:r>
        <w:rPr>
          <w:rFonts w:ascii="Calibri" w:hAnsi="Calibri"/>
          <w:b/>
          <w:color w:val="4A6B25"/>
          <w:sz w:val="20"/>
        </w:rPr>
        <w:t xml:space="preserve">3. </w:t>
      </w:r>
      <w:r>
        <w:rPr>
          <w:rFonts w:ascii="Calibri" w:hAnsi="Calibri"/>
          <w:b w:val="0"/>
          <w:color w:val="3A4A28"/>
          <w:sz w:val="20"/>
        </w:rPr>
        <w:t>Continued AI product rollout following the 2025 Trimble Insight Tech Conference, converting the Document Crunch acquisition into a scaled AI-powered risk-management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Analysts have explicitly flagged AI-native, venture-backed construction-tech competitors as a margin-compression risk that could erode Trimble's incumbent software position faster than its own AI pipeline offsets</w:t>
      </w:r>
    </w:p>
    <w:p>
      <w:pPr>
        <w:spacing w:before="40" w:after="40"/>
        <w:ind w:left="283"/>
      </w:pPr>
      <w:r>
        <w:rPr>
          <w:rFonts w:ascii="Calibri" w:hAnsi="Calibri"/>
          <w:b/>
          <w:color w:val="4A6B25"/>
          <w:sz w:val="20"/>
        </w:rPr>
        <w:t xml:space="preserve">2. </w:t>
      </w:r>
      <w:r>
        <w:rPr>
          <w:rFonts w:ascii="Calibri" w:hAnsi="Calibri"/>
          <w:b w:val="0"/>
          <w:color w:val="3A4A28"/>
          <w:sz w:val="20"/>
        </w:rPr>
        <w:t>Trailing P/E of 27.5x versus a 14.35x forward multiple assumes material margin expansion that is not yet confirmed in the flat 5-year revenue CAGR (-0.5%)</w:t>
      </w:r>
    </w:p>
    <w:p>
      <w:pPr>
        <w:spacing w:before="40" w:after="40"/>
        <w:ind w:left="283"/>
      </w:pPr>
      <w:r>
        <w:rPr>
          <w:rFonts w:ascii="Calibri" w:hAnsi="Calibri"/>
          <w:b/>
          <w:color w:val="4A6B25"/>
          <w:sz w:val="20"/>
        </w:rPr>
        <w:t xml:space="preserve">3. </w:t>
      </w:r>
      <w:r>
        <w:rPr>
          <w:rFonts w:ascii="Calibri" w:hAnsi="Calibri"/>
          <w:b w:val="0"/>
          <w:color w:val="3A4A28"/>
          <w:sz w:val="20"/>
        </w:rPr>
        <w:t>Insider selling (net $7.0M more sold than bought over 12 months, no recent purchases) and a July 2026 JPMorgan price-target cut to $75 signal reduced conviction at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Trimble's proprietary geospatial data, positioning hardware, and deep workflow integration into construction and AECO processes create real switching-cost moats, but analysts have explicitly flagged that 'AI-native and cloud-native construction-tech competitors' backed by venture capital could compress margins and disrupt Trimble's traditional software-led positioning — a genuine, analyst-identified risk rather than immunity [7]. AI Opportunity (1/1): Trimble already monetizes AI directly — SketchUp AI and autonomous procurement/quotation tools generate consumption-based revenue today, and the Document Crunch acquisition creates a new AI-powered risk-management product line, with management crediting AI tools for contributing to the Q1 2026 earnings beat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Trimble Announces Fourth Quarter and Full Year 2025 Results and Initiates 2026 Guidance — investor.trimble.com, February 2026</w:t>
      </w:r>
    </w:p>
    <w:p>
      <w:pPr>
        <w:spacing w:before="20" w:after="20"/>
        <w:ind w:left="170"/>
      </w:pPr>
      <w:r>
        <w:rPr>
          <w:rFonts w:ascii="Calibri" w:hAnsi="Calibri"/>
          <w:b/>
          <w:color w:val="4A6B25"/>
          <w:sz w:val="15"/>
        </w:rPr>
        <w:t xml:space="preserve">2. </w:t>
      </w:r>
      <w:r>
        <w:rPr>
          <w:rFonts w:ascii="Calibri" w:hAnsi="Calibri"/>
          <w:b w:val="0"/>
          <w:color w:val="3A4A28"/>
          <w:sz w:val="17"/>
        </w:rPr>
        <w:t>Trimble (TRMB) Q1 2026 Earnings Call Transcript — AOL/The Motley Fool, 2026</w:t>
      </w:r>
    </w:p>
    <w:p>
      <w:pPr>
        <w:spacing w:before="20" w:after="20"/>
        <w:ind w:left="170"/>
      </w:pPr>
      <w:r>
        <w:rPr>
          <w:rFonts w:ascii="Calibri" w:hAnsi="Calibri"/>
          <w:b/>
          <w:color w:val="4A6B25"/>
          <w:sz w:val="15"/>
        </w:rPr>
        <w:t xml:space="preserve">3. </w:t>
      </w:r>
      <w:r>
        <w:rPr>
          <w:rFonts w:ascii="Calibri" w:hAnsi="Calibri"/>
          <w:b w:val="0"/>
          <w:color w:val="3A4A28"/>
          <w:sz w:val="17"/>
        </w:rPr>
        <w:t>Trimble Q1 2026 Slides: Double-Digit Growth, AI Expansion Drive Beat — Investing.com, 2026</w:t>
      </w:r>
    </w:p>
    <w:p>
      <w:pPr>
        <w:spacing w:before="20" w:after="20"/>
        <w:ind w:left="170"/>
      </w:pPr>
      <w:r>
        <w:rPr>
          <w:rFonts w:ascii="Calibri" w:hAnsi="Calibri"/>
          <w:b/>
          <w:color w:val="4A6B25"/>
          <w:sz w:val="15"/>
        </w:rPr>
        <w:t xml:space="preserve">4. </w:t>
      </w:r>
      <w:r>
        <w:rPr>
          <w:rFonts w:ascii="Calibri" w:hAnsi="Calibri"/>
          <w:b w:val="0"/>
          <w:color w:val="3A4A28"/>
          <w:sz w:val="17"/>
        </w:rPr>
        <w:t>Trimble People and Culture / Rob Painter Leadership — trimble.com; Glassdoor,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Trimble Sustainability and ESG Pillars — trimble.com; SEC DEF 14A, 2023-2024</w:t>
      </w:r>
    </w:p>
    <w:p>
      <w:pPr>
        <w:spacing w:before="20" w:after="20"/>
        <w:ind w:left="170"/>
      </w:pPr>
      <w:r>
        <w:rPr>
          <w:rFonts w:ascii="Calibri" w:hAnsi="Calibri"/>
          <w:b/>
          <w:color w:val="4A6B25"/>
          <w:sz w:val="15"/>
        </w:rPr>
        <w:t xml:space="preserve">6. </w:t>
      </w:r>
      <w:r>
        <w:rPr>
          <w:rFonts w:ascii="Calibri" w:hAnsi="Calibri"/>
          <w:b w:val="0"/>
          <w:color w:val="3A4A28"/>
          <w:sz w:val="17"/>
        </w:rPr>
        <w:t>StockAnalysis.com — TRMB Financial Statistics, Ratios, and Financials,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Trimble Insider Trading Activity and Paris Grand Valuation Commentary — Simply Wall St, StockTitan, Sahm Capital, July 2026</w:t>
      </w:r>
    </w:p>
    <w:p>
      <w:pPr>
        <w:spacing w:before="20" w:after="20"/>
        <w:ind w:left="170"/>
      </w:pPr>
      <w:r>
        <w:rPr>
          <w:rFonts w:ascii="Calibri" w:hAnsi="Calibri"/>
          <w:b/>
          <w:color w:val="4A6B25"/>
          <w:sz w:val="15"/>
        </w:rPr>
        <w:t xml:space="preserve">8. </w:t>
      </w:r>
      <w:r>
        <w:rPr>
          <w:rFonts w:ascii="Calibri" w:hAnsi="Calibri"/>
          <w:b w:val="0"/>
          <w:color w:val="3A4A28"/>
          <w:sz w:val="17"/>
        </w:rPr>
        <w:t>Trimble AI Strategy and Competitive Landscape — FreightWaves, MatrixBCG,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