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TROW</w:t>
      </w:r>
      <w:r>
        <w:rPr>
          <w:rFonts w:ascii="Calibri" w:hAnsi="Calibri"/>
          <w:b/>
          <w:color w:val="1A2010"/>
          <w:sz w:val="40"/>
        </w:rPr>
        <w:t xml:space="preserve">  T. Rowe Price Group, Inc.</w:t>
      </w:r>
    </w:p>
    <w:p>
      <w:pPr>
        <w:spacing w:after="120"/>
      </w:pPr>
      <w:r>
        <w:rPr>
          <w:rFonts w:ascii="Calibri" w:hAnsi="Calibri"/>
          <w:b/>
          <w:color w:val="6E8450"/>
          <w:sz w:val="18"/>
        </w:rPr>
        <w:t>DIVIDEND SLEEVE · 2026-07-15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NASDAQ · United States</w:t>
      </w:r>
    </w:p>
    <w:p>
      <w:pPr>
        <w:spacing w:after="80"/>
      </w:pPr>
      <w:r>
        <w:rPr>
          <w:rFonts w:ascii="Calibri" w:hAnsi="Calibri"/>
          <w:b w:val="0"/>
          <w:color w:val="3A4A28"/>
          <w:sz w:val="20"/>
        </w:rPr>
        <w:t>T. Rowe Price Group is one of the largest publicly traded global asset management firms, with $1.89 trillion in assets under management as of May 2026. The firm provides a broad array of actively managed equity, fixed income, multi-asset, and alternative investment capabilities for individual and institutional investors, with a particular focus on retirement and target-date strategies. Founded in 1937 and headquartered in Baltimore, Maryland.</w:t>
      </w:r>
    </w:p>
    <w:p>
      <w:r>
        <w:rPr>
          <w:rFonts w:ascii="Calibri" w:hAnsi="Calibri"/>
          <w:b/>
          <w:color w:val="6E8450"/>
          <w:sz w:val="18"/>
        </w:rPr>
        <w:t>7,773 Employees · https://www.troweprice.com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 Rowe Price acquired Oak Hill Advisors (OHA) to enter private credit and alternatives, and has launched ETF vehicles to address the shift toward lower-cost wrappers, representing a meaningful but incremental strategic extension rather than a transformative pivot [1]. The core business model — actively managed mutual funds and retirement strategies — remains fundamentally the same as it was a decade ago. AI Deployment (0/2): No evidence of AI-powered investment products shipping to customers or quantified AI-driven cost savings was identified. CEO Rob Sharps has referenced 'innovative strategies, new vehicles, and compelling solutions' but without AI-specific product announcements or revenue attribution [1]. Market Share (1/2): T. Rowe Price manages $1.89T in AUM, making it a significant player, but the firm faces secular headwinds from the passive investing revolution — active managers have lost trillions in assets to index funds and ETFs over the past decade, and TROW reported net outflows in Q4 2025 [1][2]. Product Pipeline (1/2): The expansion into private credit through OHA, launch of new ETF vehicles, and development of alternatives capabilities provide some pipeline visibility, though these are industry-standard moves rather than differentiated innovations. R&amp;D Intensity (0/1): As an asset manager, R&amp;D manifests as investment in technology and talent, but T. Rowe Price's technology spending is average relative to peers and below fintech-native competitors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 Rowe Price is 'built on a culture of integrity that puts client interests first' — a clear statement that identifies the company's values (integrity, client-first) but is largely interchangeable with any reputable asset manager's positioning. It does not articulate a distinctive purpose or vision of a better future [1]. Community Impact (1/2): T. Rowe Price Foundation and corporate giving programs exist commensurate with its size and Baltimore headquarters presence, though specific dollar amounts and distinctive programs were not identified in research. Employee Retention (0/2): No specific employee tenure, voluntary turnover, or culture data was found that distinguishes T. Rowe Price from typical asset management peers. The 7,773-employee workforce is significant but retention metrics are not publicly disclosed. Insider Buying (1/2): A meaningful insider purchase was identified on April 15, 2026 when TROW was trading near $96.11, suggesting at least one insider saw value at the stock's lows. However, looking at the broader 12-month period, insider activity has been minimal with some selling offsetting the purchase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and T. Rowe Price excels on nearly every infrastructure metric. The balance sheet is fortress-grade with D/E of just 4% ($469M debt against $3.38B cash, net cash position of $2.91B) — exceptional for a financial services firm [1][5]. ROE of 18.8% exceeds the 15% target, and net margin of 28.5% significantly exceeds the 20% target, reflecting the inherently high-margin asset management business model [5]. Forward P/E of 9.0x is deeply discounted relative to the 20x target, pricing in significant pessimism about active management's future. The dividend profile is outstanding: 39 consecutive years of increases (Dividend Aristocrat status), 52% payout ratio, 4.34% current yield, and 9.6% average annual dividend growth over 10 years [3][4]. The weaknesses are moderate revenue growth — 5.3% YoY for Q1 2026 and 3.5% five-year CAGR — reflecting the headwinds of passive investing migration and AUM volatility tied to market performance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 Rowe Price exhibits a genuinely long-term orientation rooted in founder Thomas Rowe Price Jr.'s growth investing philosophy established in 1937. The company's 39-year consecutive dividend increase streak, commitment to active management through the passive investing revolution, and deliberate expansion into alternatives through OHA demonstrate strategic patience. However, the firm's response to industry disruption has been incremental rather than bold — launching ETFs and adding private credit are industry-standard moves, not courageous bets. Sinek would appreciate the client-first culture and multi-generational consistency but would question whether the company has the existential flexibility to truly reinvent itself if active management continues losing ground.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Thomas Rowe Price Jr. founded the firm in 1937 on the principle of investing for clients' long-term benefit through disciplined growth stock selection — a genuine cause that has guided the company through nearly 90 years and multiple market cycles. The 39-year dividend increase streak and consistent commitment to active management even as trillions flowed to passive funds demonstrate that the purpose shapes behavior [1][3]. However, the cause has become more generic over time ('client interests first') and doesn't clearly differentiate from what Fidelity, Vanguard, or any reputable asset manager would claim.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 Rowe Price has maintained leadership stability with CEO Rob Sharps overseeing a disciplined, professional culture. The June 2026 expansion of the leadership team suggests organizational development [1]. The Baltimore headquarters location contributes to a stable, less transient workforce compared to Wall Street firms. However, no exceptional trust indicators — extraordinary retention data, employee empowerment programs, or cultural practices — were identified that distinguish T. Rowe Price from typical large asset management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 Rowe Price explicitly acknowledges the competitive pressure from passive investing and uses it as motivation to improve its active management capabilities rather than demonizing index funds. CEO Rob Sharps has stated that 'with the recent volatility and broadening of markets, our active management approach positions us to take advantage of the opportunities this climate brings' — framing competition as context for improvement rather than a war to win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OHA acquisition expanded T. Rowe Price into private credit and alternatives, and the launch of ETF vehicles acknowledged that the wrapper (not just the strategy) matters to modern investors. These represent meaningful adaptations to industry evolution [1]. However, the core business model — actively managed strategies distributed through institutional relationships — has not fundamentally changed. T. Rowe Price has not yet demonstrated the willingness to cannibalize its high-margin active management franchise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 Rowe Price has demonstrated commitment to active management during a decade-long industry shift toward passive investing, maintaining investment in research talent and new strategies even as AUM growth slowed. The OHA acquisition invested significant capital to build alternatives capability [1]. However, maintaining the status quo of active management could also be read as inertia rather than courage — the company has not made any decision that was genuinely costly in the short term to create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 Rowe Price offers a compelling income proposition for dividend-focused investors — a Dividend Aristocrat with 39 consecutive years of increases, 4.34% current yield, 9.6% ten-year dividend growth rate, and a fortress balance sheet with $2.91B net cash and zero meaningful leverage [3][4]. The forward P/E of 9.0x represents a historically discounted valuation for a company with $1.89T in AUM, 28.5% net margins, and 18.8% ROE [5]. The expansion into private credit and alternatives through OHA diversifies revenue away from pure equity market sensitivity, and the Q1 2026 net inflows of $3.3B suggest the outflow narrative may be turning [1]. At current prices, the dividend alone provides a 4.3% return floor with strong likelihood of continued 7-10% annual growth.</w:t>
      </w:r>
    </w:p>
    <w:p>
      <w:pPr>
        <w:spacing w:after="120"/>
      </w:pPr>
      <w:r>
        <w:rPr>
          <w:rFonts w:ascii="Calibri" w:hAnsi="Calibri"/>
          <w:b w:val="0"/>
          <w:color w:val="3A4A28"/>
          <w:sz w:val="20"/>
        </w:rPr>
        <w:t>The fundamental bear case is secular: active management has lost $5+ trillion in assets to passive index funds and ETFs over the past decade, and AI-powered quantitative strategies threaten to accelerate this migration by replicating factor-based active approaches at lower cost [2]. T. Rowe Price's 3.5% five-year revenue CAGR and flat EPS over five years demonstrate the drag of this structural shift. The company's revenue is inherently market-sensitive — a 10% equity market decline compresses AUM and fee revenue by a similar magnitude, creating earnings volatility that makes the low P/E somewhat misleading [1][2]. The stock's decline to $96 in April 2026 (down ~40% from 2024 highs) reflects genuine market skepticism about the active management business model, not just temporary pessimism. Rising operating expenses reported in Q4 2025 suggest the firm is spending more to compete while revenue growth remains anemic, potentially compressing the currently exceptional margins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positive net inflows — Q1 2026's $3.3B inflows represent a potential inflection point after years of outflows, and continuation would re-rate the stock meaningfully higher</w:t>
      </w:r>
    </w:p>
    <w:p>
      <w:pPr>
        <w:spacing w:before="40" w:after="40"/>
        <w:ind w:left="283"/>
      </w:pPr>
      <w:r>
        <w:rPr>
          <w:rFonts w:ascii="Calibri" w:hAnsi="Calibri"/>
          <w:b/>
          <w:color w:val="4A6B25"/>
          <w:sz w:val="20"/>
        </w:rPr>
        <w:t xml:space="preserve">2. </w:t>
      </w:r>
      <w:r>
        <w:rPr>
          <w:rFonts w:ascii="Calibri" w:hAnsi="Calibri"/>
          <w:b w:val="0"/>
          <w:color w:val="3A4A28"/>
          <w:sz w:val="20"/>
        </w:rPr>
        <w:t>Private credit and alternatives revenue through OHA scaling into a meaningful earnings contributor as institutional allocations to private markets continue growing at 15-20% annually</w:t>
      </w:r>
    </w:p>
    <w:p>
      <w:pPr>
        <w:spacing w:before="40" w:after="40"/>
        <w:ind w:left="283"/>
      </w:pPr>
      <w:r>
        <w:rPr>
          <w:rFonts w:ascii="Calibri" w:hAnsi="Calibri"/>
          <w:b/>
          <w:color w:val="4A6B25"/>
          <w:sz w:val="20"/>
        </w:rPr>
        <w:t xml:space="preserve">3. </w:t>
      </w:r>
      <w:r>
        <w:rPr>
          <w:rFonts w:ascii="Calibri" w:hAnsi="Calibri"/>
          <w:b w:val="0"/>
          <w:color w:val="3A4A28"/>
          <w:sz w:val="20"/>
        </w:rPr>
        <w:t>Active management's competitive advantage reasserting during market broadening and volatility, with T. Rowe Price's long-only fundamental strategies demonstrating alpha versus passive benchmarks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active-to-passive migration accelerating as AI-powered quantitative strategies replicate factor-based active management at lower cost, compressing fee rates and driving further net outflows</w:t>
      </w:r>
    </w:p>
    <w:p>
      <w:pPr>
        <w:spacing w:before="40" w:after="40"/>
        <w:ind w:left="283"/>
      </w:pPr>
      <w:r>
        <w:rPr>
          <w:rFonts w:ascii="Calibri" w:hAnsi="Calibri"/>
          <w:b/>
          <w:color w:val="4A6B25"/>
          <w:sz w:val="20"/>
        </w:rPr>
        <w:t xml:space="preserve">2. </w:t>
      </w:r>
      <w:r>
        <w:rPr>
          <w:rFonts w:ascii="Calibri" w:hAnsi="Calibri"/>
          <w:b w:val="0"/>
          <w:color w:val="3A4A28"/>
          <w:sz w:val="20"/>
        </w:rPr>
        <w:t>Revenue sensitivity to equity markets means a 15-20% market correction would compress AUM, fee revenue, and earnings proportionally, likely testing the 52% payout ratio and pressuring the dividend growth trajectory</w:t>
      </w:r>
    </w:p>
    <w:p>
      <w:pPr>
        <w:spacing w:before="40" w:after="40"/>
        <w:ind w:left="283"/>
      </w:pPr>
      <w:r>
        <w:rPr>
          <w:rFonts w:ascii="Calibri" w:hAnsi="Calibri"/>
          <w:b/>
          <w:color w:val="4A6B25"/>
          <w:sz w:val="20"/>
        </w:rPr>
        <w:t xml:space="preserve">3. </w:t>
      </w:r>
      <w:r>
        <w:rPr>
          <w:rFonts w:ascii="Calibri" w:hAnsi="Calibri"/>
          <w:b w:val="0"/>
          <w:color w:val="3A4A28"/>
          <w:sz w:val="20"/>
        </w:rPr>
        <w:t>Rising operating expenses to fund alternatives capability, technology infrastructure, and ETF distribution could compress the 28.5% net margin that currently underpins the attractive dividend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 Rowe Price's core business — active investment management — faces real but not existential AI disruption risk. AI-powered quantitative strategies, robo-advisors, and algorithmic portfolio construction are already competing for assets that might otherwise flow to traditional active managers. The secular shift from active to passive investing is being accelerated by AI tools that can replicate factor-based strategies at lower cost [2]. However, T. Rowe Price has meaningful defensive moats: deep institutional and retirement plan relationships with high switching costs, a 39-year track record of dividend increases that signals stability, regulatory complexity in asset management that creates barriers, and the human judgment required for complex alternatives and private credit strategies through OHA. The retirement plan business — where T. Rowe Price is a top-3 target-date fund provider — is particularly sticky due to plan sponsor inertia [1]. AI Opportunity (0/1): No quantifiable AI-related revenue was identified. While T. Rowe Price undoubtedly uses AI tools internally for research and operations, there are no AI-powered products generating measurable revenue or disclosed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 Rowe Price Group Q1 2026 Earnings Release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T. Rowe Price 2026 Market Analysis: Stock Decline, Analyst Views and Dividend Strength — IndexBox, 2026</w:t>
      </w:r>
    </w:p>
    <w:p>
      <w:pPr>
        <w:spacing w:before="20" w:after="20"/>
        <w:ind w:left="170"/>
      </w:pPr>
      <w:r>
        <w:rPr>
          <w:rFonts w:ascii="Calibri" w:hAnsi="Calibri"/>
          <w:b/>
          <w:color w:val="4A6B25"/>
          <w:sz w:val="15"/>
        </w:rPr>
        <w:t xml:space="preserve">3. </w:t>
      </w:r>
      <w:r>
        <w:rPr>
          <w:rFonts w:ascii="Calibri" w:hAnsi="Calibri"/>
          <w:b w:val="0"/>
          <w:color w:val="3A4A28"/>
          <w:sz w:val="17"/>
        </w:rPr>
        <w:t>T. Rowe Price Dividend History: 39 Consecutive Years of Increases — StockAnalysis.com,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Tickeron TROW Dividend Analysis: 5.1% Yield and 39-Year Growth Streak,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TROW Key Statistics, Valuation Measures, and Insider Transactions,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