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TRP</w:t>
      </w:r>
      <w:r>
        <w:rPr>
          <w:rFonts w:ascii="Calibri" w:hAnsi="Calibri"/>
          <w:b/>
          <w:color w:val="1A2010"/>
          <w:sz w:val="40"/>
        </w:rPr>
        <w:t xml:space="preserve">  TC Energy Corporation</w:t>
      </w:r>
    </w:p>
    <w:p>
      <w:pPr>
        <w:spacing w:after="120"/>
      </w:pPr>
      <w:r>
        <w:rPr>
          <w:rFonts w:ascii="Calibri" w:hAnsi="Calibri"/>
          <w:b/>
          <w:color w:val="6E8450"/>
          <w:sz w:val="18"/>
        </w:rPr>
        <w:t>DIVIDEND SLEEVE · 2026-07-14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TC Energy Corporation operates one of the largest natural gas pipeline networks in North America, spanning approximately 93,000 km of natural gas pipelines and 4,900 MW of power generation. Following the spin-off of its crude oil pipelines business (South Bow Corporation) in October 2024, TC Energy is a pure-play natural gas and power infrastructure company. The NGTL system and Columbia Gas system are core assets. Headquartered in Calgary, Alberta, Canada.</w:t>
      </w:r>
    </w:p>
    <w:p>
      <w:r>
        <w:rPr>
          <w:rFonts w:ascii="Calibri" w:hAnsi="Calibri"/>
          <w:b/>
          <w:color w:val="6E8450"/>
          <w:sz w:val="18"/>
        </w:rPr>
        <w:t>7,000 Employees · https://www.tcenergy.com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TC Energy completed the strategic spin-off of South Bow Corporation in October 2024, refocusing as a pure-play natural gas and power company. This was a significant portfolio transformation, but it was driven by market and ESG pressures rather than proactive innovation. The Coastal GasLink pipeline, despite massive cost overruns (original C\.6B budget ballooned), was completed in 2023. These are execution milestones, not product launches or business model innovations [1]. AI Deployment (1/2): TC Energy partnered with Moveworks for AI-powered digital transformation, completing deployment in under 2 months. The company also runs a 'Bot Wars' program in partnership with Microsoft to teach employees robotic process automation, and works with AWS on machine learning for pipeline operations [3]. No customer-facing AI products, but meaningful internal AI adoption for operational efficiency. Market Share (1/2): TC Energy operates one of the largest natural gas pipeline networks in North America with the NGTL system setting an all-time delivery record of 18.3 Bcf/d in Q1 2026 [2]. Dominant position in Canadian gas transport but operates in a regulated, limited-competition environment. Product Pipeline (1/2): The \.5B Appalachia Supply Project expansion of the Columbia Gas system was approved in Q1 2026, and management guided to EBITDA growth of .6-.1B by 2028 from .6-.8B in 2026 [2]. Specific project with timeline and revenue visibility. R&amp;D Intensity (0/1): Pipeline companies invest minimally in traditional R&amp;D. TC Energy's innovation is in engineering and project execution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TC Energy's purpose centers on safely, reliably, and sustainably meeting North America's energy needs. This is clear and connects the company's work to essential infrastructure, but it is functionally interchangeable with any major pipeline operator. The purpose identifies what TC Energy does and for whom, but does not articulate a deeper vision of the future or differentiate from peers. Community Impact (1/2): TC Energy maintains Indigenous community partnerships along pipeline routes in Canada and invests in community programs, though specific dollar amounts and program details were not prominently cited in recent disclosures [3]. The company's ESG reporting addresses community engagement, but no standout charitable initiatives were identified. Employee Retention (1/2): CEO Francois Poirier was named Business Leader of the Year for 2026 by the Canadian Chamber of Commerce. The 'One Company' culture initiative encourages experimentation and 'failing safely' [3]. However, no specific employee tenure, turnover, or retention data was available. Insider Buying (0/2): No evidence of meaningful net insider buying was found in the search results for 2026. Insider transaction data did not reveal significant CEO or executive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\.86B revenue (up 6.6% YoY) with comparable EBITDA surging 14% to C\.1B [1][2]. ROE of 11.33% is below the 15% target, reflecting the capital-intensive nature of pipeline operations with high depreciation charges. D/E of 167% is elevated but manageable for a regulated utility-like infrastructure business, though net debt of .2B is substantial [4]. Profit margin of 22.23% exceeds the 20% target. Forward P/E of 26.05 is above the ideal target of 20 but typical for regulated infrastructure with predictable cash flows. Dividend yield of 3.65% is attractive but the payout ratio of 108.6% exceeds 100%, reflecting the gap between GAAP earnings and cash flow — operating cash flow of \.15B and FCF of \.68B substantially exceed net income [4]. Consecutive dividend payments of 40+ years and 24+ consecutive years of growth demonstrate exceptional dividend reliability, which carries double weight in the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TC Energy exhibits meaningful infinite game characteristics rooted in the nature of infrastructure investing — building pipelines with 50+ year asset lives inherently requires long-term thinking. The South Bow spin-off demonstrated willingness to reshape the portfolio for long-term focus, and the company's 40+ year dividend track record signals durability. However, the Coastal GasLink cost overruns and the reactive nature of the spin-off (responding to ESG pressure rather than proactively pursuing a cause) suggest a company that adapts well but is not driven by a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TC Energy's purpose of safely delivering North America's energy is genuine and partially validated by decades of infrastructure investment. The company has consistently invested in long-lived assets that serve essential societal needs, and the 40+ year dividend track record demonstrates multi-decade commitment to stakeholders. However, the purpose is not distinctive — any pipeline operator could articulate the same cause — and strategic decisions like the South Bow spin-off were as much about ESG pressure and credit ratings as about advancing an enduring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'One Company' culture initiative under CEO Poirier emphasizes cross-organizational collaboration and encourages experimentation with 'safe failure' [3]. Poirier's recognition as Business Leader of the Year by the Canadian Chamber of Commerce suggests respected leadership. The company has maintained leadership stability since Poirier's appointment in January 2021. However, no specific data on employee retention, tenure, or turnover is available to verify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TC Energy operates in a regulated infrastructure sector where competition is more about project execution and customer service than market share warfare. Management commentary focuses on operational excellence, safety records, and meeting growing energy demand rather than defeating competitors like Enbridge or Williams. The company's competitive language is about self-improvement and reliability, consistent with infinite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October 2024 spin-off of South Bow Corporation (crude oil pipelines) was a significant strategic restructuring that transformed TC Energy from a diversified energy transport company to a pure-play natural gas and power infrastructure company. This demonstrated willingness to fundamentally reshape the portfolio, though the change was incremental rather than transformative — TC Energy was already predominantly a natural gas company. The decision was partly reactive to ESG pressures and credit rating concerns rather than purely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Poirier persisted with the Coastal GasLink pipeline through massive cost overruns, Indigenous opposition, and environmental controversy, completing the project because it served the long-term energy infrastructure mission. The South Bow spin-off required accepting short-term market disruption for long-term strategic clarity. The \.5B Appalachia Supply Project approval demonstrates continued investment in long-lived assets [2]. However, the high leverage (B net debt) limits the company's ability to make truly bold bets, and decisions have been more pragmatic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TC Energy is a pure-play North American natural gas and power infrastructure company delivering strong operational execution, with Q1 2026 comparable EBITDA rising 14% to C\.1B and the NGTL system setting all-time delivery records of 18.3 Bcf/d [1][2]. The company is a direct beneficiary of AI-driven data center demand growth, which is accelerating natural gas consumption across North America. The 3.65% dividend yield backed by 40+ years of consecutive payments and 24+ years of consecutive growth provides reliable income. Management guided to .6-.8B EBITDA for 2026 with a growth trajectory to .6-.1B by 2028, supported by the newly approved \.5B Appalachia Supply Project [2]. The stock has gained 44% over the past year as the market re-rates the company's AI-era relevance.</w:t>
      </w:r>
    </w:p>
    <w:p>
      <w:pPr>
        <w:spacing w:after="120"/>
      </w:pPr>
      <w:r>
        <w:rPr>
          <w:rFonts w:ascii="Calibri" w:hAnsi="Calibri"/>
          <w:b w:val="0"/>
          <w:color w:val="3A4A28"/>
          <w:sz w:val="20"/>
        </w:rPr>
        <w:t>The principal risk is TC Energy's heavily leveraged balance sheet with .2B in net debt and D/E of 167%, which constrains financial flexibility and exposes the company to interest rate risk [4]. The payout ratio of 108.6% on a GAAP basis raises sustainability questions, though cash flow coverage is adequate with \.15B in operating cash flow and \.68B FCF. Forward P/E of 26.05 is premium for a utility-like infrastructure business, reflecting the market's enthusiasm for AI-driven energy demand that may be partially priced in after the 44% run-up. Revenue growth is modest at 6.6% YoY, and the 5-year revenue CAGR of approximately 2% reflects the South Bow spin-off impact. The Coastal GasLink cost overruns and broader regulatory uncertainty around pipeline approvals in Canada remain ongoing concerns for future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accelerating natural gas demand across North America, with TC Energy's pipeline systems setting new delivery records as hyperscaler power needs grow exponentially</w:t>
      </w:r>
    </w:p>
    <w:p>
      <w:pPr>
        <w:spacing w:before="40" w:after="40"/>
        <w:ind w:left="283"/>
      </w:pPr>
      <w:r>
        <w:rPr>
          <w:rFonts w:ascii="Calibri" w:hAnsi="Calibri"/>
          <w:b/>
          <w:color w:val="4A6B25"/>
          <w:sz w:val="20"/>
        </w:rPr>
        <w:t xml:space="preserve">2. </w:t>
      </w:r>
      <w:r>
        <w:rPr>
          <w:rFonts w:ascii="Calibri" w:hAnsi="Calibri"/>
          <w:b w:val="0"/>
          <w:color w:val="3A4A28"/>
          <w:sz w:val="20"/>
        </w:rPr>
        <w:t>Appalachia Supply Project (\.5B) expansion of Columbia Gas system providing visible EBITDA growth from secured capacity, with management targeting .6-.1B by 2028</w:t>
      </w:r>
    </w:p>
    <w:p>
      <w:pPr>
        <w:spacing w:before="40" w:after="40"/>
        <w:ind w:left="283"/>
      </w:pPr>
      <w:r>
        <w:rPr>
          <w:rFonts w:ascii="Calibri" w:hAnsi="Calibri"/>
          <w:b/>
          <w:color w:val="4A6B25"/>
          <w:sz w:val="20"/>
        </w:rPr>
        <w:t xml:space="preserve">3. </w:t>
      </w:r>
      <w:r>
        <w:rPr>
          <w:rFonts w:ascii="Calibri" w:hAnsi="Calibri"/>
          <w:b w:val="0"/>
          <w:color w:val="3A4A28"/>
          <w:sz w:val="20"/>
        </w:rPr>
        <w:t>Potential deleveraging from strong free cash flow and completed capital projects improving credit metrics and reducing interest expense burden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debt of .2B and D/E of 167% create significant interest rate sensitivity and limit financial flexibility during a capital-intensive growth phase for pipeline expansion</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108.6% exceeds net income, and while cash flow coverage is adequate, sustained earnings pressure could force a dividend growth slowdown or cut</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opposition to pipeline projects in Canada, where Coastal GasLink cost overruns more than doubled the original budget, may repeat on future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TC Energy's core business — operating physical natural gas pipelines and power generation assets — is structurally immune to AI disruption. Pipelines are irreplaceable physical infrastructure with 50+ year asset lives, regulated rate structures, and no digital substitution path. AI cannot transport natural gas or generate electricity from existing power plants [1]. Moreover, AI is actively increasing demand for TC Energy's services: data center buildout is driving unprecedented electricity demand, much of it gas-fired, with TC Energy's pipeline systems setting 7 new all-time delivery records in Q1 2026, including the NGTL system record of 18.3 Bcf/d [2]. The regulated nature of pipeline tariffs provides additional protection — rate structures are set by regulators, not competitive markets. AI Opportunity (1/1): TC Energy is deploying AI internally through its Moveworks partnership and AWS machine learning integration for pipeline operations, predictive maintenance, and process automation [3]. While not a revenue generator, these AI tools are delivering operational efficiency gains and positioning the company to benefit from AI-driven energy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TC Energy Q1 2026 Earnings Release — Record EBITDA, 14% Growth, Nasdaq/SEC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TC Energy Q1 2026 Slides — \.5B Appalachia Supply Project Approved,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TC Energy Digital Innovation and Leadership Culture — Calgary Economic Development, Moveworks Case Study,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TRP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TC Energy Dividend History — MacroTrends, Dividend.com, 40-Year Track Record,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