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TRU</w:t>
      </w:r>
      <w:r>
        <w:rPr>
          <w:rFonts w:ascii="Calibri" w:hAnsi="Calibri"/>
          <w:b/>
          <w:color w:val="1A2010"/>
          <w:sz w:val="40"/>
        </w:rPr>
        <w:t xml:space="preserve">  TransUnion</w:t>
      </w:r>
    </w:p>
    <w:p>
      <w:pPr>
        <w:spacing w:after="120"/>
      </w:pPr>
      <w:r>
        <w:rPr>
          <w:rFonts w:ascii="Calibri" w:hAnsi="Calibri"/>
          <w:b/>
          <w:color w:val="6E8450"/>
          <w:sz w:val="18"/>
        </w:rPr>
        <w:t>GROWTH SLEEVE · 2026-07-12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Business Services · NYSE · United States</w:t>
      </w:r>
    </w:p>
    <w:p>
      <w:pPr>
        <w:spacing w:after="80"/>
      </w:pPr>
      <w:r>
        <w:rPr>
          <w:rFonts w:ascii="Calibri" w:hAnsi="Calibri"/>
          <w:b w:val="0"/>
          <w:color w:val="3A4A28"/>
          <w:sz w:val="20"/>
        </w:rPr>
        <w:t>TransUnion is a global information and insights company and one of the three major consumer credit bureaus in the United States, alongside Equifax and Experian. The company provides credit information, fraud detection, identity verification, and analytical solutions to businesses and consumers across financial services, insurance, healthcare, and government sectors. TransUnion serves over 65,000 businesses and approximately one billion consumers worldwide. Expanded into identity and fraud prevention through the $3.1B Neustar acquisition (2021). Founded in 1968, headquartered in Chicago, Illinois.</w:t>
      </w:r>
    </w:p>
    <w:p>
      <w:r>
        <w:rPr>
          <w:rFonts w:ascii="Calibri" w:hAnsi="Calibri"/>
          <w:b/>
          <w:color w:val="6E8450"/>
          <w:sz w:val="18"/>
        </w:rPr>
        <w:t>13,500 Employees · https://www.transunion.com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TransUnion executed two transformative acquisitions — Neustar ($3.1B, 2021) expanding into identity verification and fraud prevention, and Verisk Financial Services (2022) adding insurance analytics — fundamentally broadening the company beyond traditional credit reporting into a diversified data analytics platform [1][3]. These represent significant new revenue streams but not a complete company reinvention. AI Deployment (1/2): AI and machine learning are integrated into TruVision credit scoring, OneTru fraud detection, and identity resolution products shipping to financial institution customers, but management has not disclosed specific AI-driven revenue figures or quantified cost savings [3]. Market Share (1/2): TransUnion is the #3 U.S. credit bureau by scale behind Equifax and Experian, but is gaining share in the faster-growing identity verification and fraud prevention verticals through the Neustar platform; Q1 2026 U.S. Markets revenue grew 14% [1]. Product Pipeline (1/2): New board appointments with AI/cloud expertise from Workday and Microsoft signal ongoing technology investment, and the medium-term framework targets high-single digit organic growth, but no specific next-gen product launches with dates were announced [3]. R&amp;D Intensity (0/1): Technology investment is meaningful in absolute terms but R&amp;D as a percentage of revenue is not separately disclosed and appears at or below industry average for data analytics companies.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TransUnion's mission — 'Information for Good' — articulates a purpose of using data to help people and businesses make better decisions, connecting to financial inclusion and consumer empowerment [3]. The mission is clear and industry-relevant but not transformatively differentiated from peers (Equifax: 'Powering the World with Knowledge', Experian: 'Creating a Better Tomorrow') — it identifies what the company does without describing a future state that doesn't yet exist. Community Impact (1/2): TransUnion invests in financial literacy programs, consumer education, and alternative credit data initiatives to broaden financial access, demonstrating genuine if not exceptional social investment aligned with the mission [4]. Employee Retention (1/2): CEO Chris Cartwright has provided stable leadership since May 2019, emphasizing collaborative culture and associate development; recent executive additions from Workday and Microsoft suggest ability to attract senior talent [3]. No specific turnover or tenure data available. Insider Buying (0/2): No evidence of meaningful net insider buying by executives in the last 12 months was identified in available research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Q1 2026 delivered $1,246M revenue (up 14% YoY) with adjusted EBITDA of $438M, and full-year 2026 revenue guidance was raised to $5.1-$5.135B (11-12% growth) with adjusted EBITDA of $1.796-$1.816B [1]. Forward P/E of 18.4 is below the 20 target, and Forward PEG of 1.33 offers reasonable value for the growth profile [5]. ROE of 15.4% meets the 15% target threshold [5]. Revenue growth YoY of 14% exceeds the 10% target, and estimated 5-year CAGR of ~8% approaches target. D/E of 118% is elevated from the Neustar acquisition but scoring at 0.79 (between floor of 300% and target of 70%) — manageable given the recurring revenue base and active deleveraging [5]. Profit margin of 14.9% falls below the 20% target, reflecting ongoing integration costs and competitive credit bureau pricing. Growth-weighted Forward PEG of 1.33 scores well against the 3.0 floor and 1.0 target.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TransUnion operates with a mixed infinite-finite mindset. The 'Information for Good' purpose provides a credible foundation, and the $3.1B Neustar acquisition demonstrates strategic vision to evolve beyond credit reporting. However, the competitive dynamics of the credit bureau oligopoly foster a market-share-focused mentality, and post-acquisition cost-cutting and offshoring patterns indicate finite-game optimization tendencies that conflict with infinite-game trust-building.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TransUnion's 'Information for Good' purpose connects data services to consumer empowerment and financial inclusion, but it reads more as effective marketing than a deeply held organizational belief [3]. The purpose hasn't been tested through existential crisis, and strategic decisions like the $3.1B Neustar acquisition appear driven by competitive positioning (responding to Equifax and Experian expansion) rather than advancing a transformative vision. The concept of 'good' remains vaguely defined and interchangeable with peer missions.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Cartwright has provided stable leadership since 2019, emphasizing collaborative culture and talent development, with recent high-profile executive hires from Workday and Microsoft suggesting the organization can attract top technology talent [3]. However, no exceptional evidence of employee empowerment, above-average retention, or distinctive cultural practices was identified. The company operates at industry-average levels of organizational trust for a mid-cap data-services company.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TransUnion competes in a credit bureau oligopoly with Equifax and Experian, and management frames the competitive dynamic around improving its own product capabilities — expanding into identity, fraud, and insurance analytics — rather than attempting to destroy rivals [1][3]. The company acknowledges competitors' strengths and uses competitive pressure to drive product innovation, particularly in AI-powered fraud detection where it differentiates rather than imitates.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TransUnion has meaningfully evolved its business model from a traditional credit bureau into a diversified data analytics platform through the $3.1B Neustar acquisition (identity/fraud) and Verisk Financial Services (insurance analytics), expanding the addressable market well beyond credit originations [1][3]. The OneTru platform represents a genuine business model evolution. However, the transformation was incremental and market-driven rather than a purpose-led reinvention of the company.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$3.1B Neustar acquisition in 2021 was the largest in company history, fundamentally expanding TransUnion beyond credit reporting into identity verification and fraud prevention at significant financial risk [1]. Management committed to deleveraging while sustaining technology investment. However, the acquisition was executed during a period of cheap capital and aligned with obvious industry trends, and post-acquisition cost-cutting through offshoring to Global Capability Centers reflects tactical financial management.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TransUnion reported strong Q1 2026 results with revenue up 14% to $1,246M, led by robust U.S. Financial Services and insurance verticals, prompting management to raise full-year 2026 revenue guidance to $5.1-$5.135B (11-12% growth) with adjusted EBITDA of $1.796-$1.816B and 35.2-35.4% margins [1]. The reintroduction of a medium-term financial framework targeting high-single digit organic growth with low-double digit international growth signals confidence in sustainable momentum. At Forward P/E of 18.4 and Forward PEG of 1.33, TransUnion offers reasonable value for a company delivering accelerating growth, and the Neustar integration is bearing fruit with identity and fraud prevention revenues expanding the addressable market beyond traditional credit originations [1][3]. The FCRA-regulated oligopoly structure provides a structural moat that AI cannot dissolve.</w:t>
      </w:r>
    </w:p>
    <w:p>
      <w:pPr>
        <w:spacing w:after="120"/>
      </w:pPr>
      <w:r>
        <w:rPr>
          <w:rFonts w:ascii="Calibri" w:hAnsi="Calibri"/>
          <w:b w:val="0"/>
          <w:color w:val="3A4A28"/>
          <w:sz w:val="20"/>
        </w:rPr>
        <w:t>Debt-to-equity of 118% remains elevated from the $3.1B Neustar acquisition, constraining financial flexibility and increasing sensitivity to interest rate movements, though management is actively deleveraging [5]. Profit margin of 14.9% trails the 20% target and credit bureau peers like Experian, reflecting integration costs and competitive pricing pressure in the oligopoly. While TransUnion is growing faster than Equifax, it remains the #3 U.S. credit bureau by scale, limiting pricing power. Revenue carries cyclical exposure to mortgage and auto lending volumes — origination-linked revenues would face pressure in any economic downturn, and the medium-term framework's high-single digit organic growth target requires sustained lending recovery. AI-native lending platforms (Upstart, Zest AI) represent a long-tail risk to traditional credit bureau dependence, though regulatory requirements provide a substantial near-term moat [3][5].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Accelerating U.S. Financial Services growth driven by lending volume recovery and cross-selling Neustar identity and fraud solutions into the existing 65,000+ business customer base [1]</w:t>
      </w:r>
    </w:p>
    <w:p>
      <w:pPr>
        <w:spacing w:before="40" w:after="40"/>
        <w:ind w:left="283"/>
      </w:pPr>
      <w:r>
        <w:rPr>
          <w:rFonts w:ascii="Calibri" w:hAnsi="Calibri"/>
          <w:b/>
          <w:color w:val="4A6B25"/>
          <w:sz w:val="20"/>
        </w:rPr>
        <w:t xml:space="preserve">2. </w:t>
      </w:r>
      <w:r>
        <w:rPr>
          <w:rFonts w:ascii="Calibri" w:hAnsi="Calibri"/>
          <w:b w:val="0"/>
          <w:color w:val="3A4A28"/>
          <w:sz w:val="20"/>
        </w:rPr>
        <w:t>Medium-term financial framework targeting high-single digit organic revenue growth with margin expansion toward 40% EBITDA margins as Neustar integration costs wind down and operating leverage improves [1]</w:t>
      </w:r>
    </w:p>
    <w:p>
      <w:pPr>
        <w:spacing w:before="40" w:after="40"/>
        <w:ind w:left="283"/>
      </w:pPr>
      <w:r>
        <w:rPr>
          <w:rFonts w:ascii="Calibri" w:hAnsi="Calibri"/>
          <w:b/>
          <w:color w:val="4A6B25"/>
          <w:sz w:val="20"/>
        </w:rPr>
        <w:t xml:space="preserve">3. </w:t>
      </w:r>
      <w:r>
        <w:rPr>
          <w:rFonts w:ascii="Calibri" w:hAnsi="Calibri"/>
          <w:b w:val="0"/>
          <w:color w:val="3A4A28"/>
          <w:sz w:val="20"/>
        </w:rPr>
        <w:t>International expansion with low-double digit growth targets, particularly in Canada, U.K., and Africa where TransUnion is building differentiated identity and fraud prevention capabilities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Debt-to-equity of 118% from the Neustar acquisition limits financial flexibility for additional M&amp;A or capital return, and any economic downturn compressing lending volumes would pressure both revenue and the deleveraging timeline [5]</w:t>
      </w:r>
    </w:p>
    <w:p>
      <w:pPr>
        <w:spacing w:before="40" w:after="40"/>
        <w:ind w:left="283"/>
      </w:pPr>
      <w:r>
        <w:rPr>
          <w:rFonts w:ascii="Calibri" w:hAnsi="Calibri"/>
          <w:b/>
          <w:color w:val="4A6B25"/>
          <w:sz w:val="20"/>
        </w:rPr>
        <w:t xml:space="preserve">2. </w:t>
      </w:r>
      <w:r>
        <w:rPr>
          <w:rFonts w:ascii="Calibri" w:hAnsi="Calibri"/>
          <w:b w:val="0"/>
          <w:color w:val="3A4A28"/>
          <w:sz w:val="20"/>
        </w:rPr>
        <w:t>Profit margin of 14.9% remains well below the 20% target and credit bureau peers, reflecting ongoing integration costs and competitive pricing pressure that may prove structural rather than temporary</w:t>
      </w:r>
    </w:p>
    <w:p>
      <w:pPr>
        <w:spacing w:before="40" w:after="40"/>
        <w:ind w:left="283"/>
      </w:pPr>
      <w:r>
        <w:rPr>
          <w:rFonts w:ascii="Calibri" w:hAnsi="Calibri"/>
          <w:b/>
          <w:color w:val="4A6B25"/>
          <w:sz w:val="20"/>
        </w:rPr>
        <w:t xml:space="preserve">3. </w:t>
      </w:r>
      <w:r>
        <w:rPr>
          <w:rFonts w:ascii="Calibri" w:hAnsi="Calibri"/>
          <w:b w:val="0"/>
          <w:color w:val="3A4A28"/>
          <w:sz w:val="20"/>
        </w:rPr>
        <w:t>AI-native lending platforms and alternative credit scoring models (Upstart, Zest AI) could gradually reduce financial institutions' dependence on traditional credit bureau data, particularly for thin-file and subprime lending segments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TransUnion's core credit reporting business operates in a regulated oligopoly under the Fair Credit Reporting Act (FCRA) — only three national consumer reporting agencies operate at scale, a structural moat AI cannot dissolve [1][3]. Financial institutions are legally required to use credit bureau data for lending decisions, and TransUnion's proprietary consumer credit files on over one billion individuals cannot be replicated by AI models. The deeply embedded integration with lenders' underwriting systems and regulatory infrastructure creates prohibitive switching costs. Identity verification and fraud prevention data from the Neustar acquisition adds another defensible data moat. However, AI-native lending platforms (Upstart, Zest AI) could gradually reduce traditional credit bureau dependence for certain lending decisions, and generalist AI could automate some of the analytical services TransUnion sells. AI Opportunity (1/1): TransUnion generates revenue from AI-powered fraud detection, identity resolution, and credit decisioning products; TruVision credit scoring and OneTru real-time fraud analytics use machine learning trained on proprietary data, with AI capabilities serving as a key competitive differentiator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TransUnion Q1 2026 Earnings Release — $1,246M revenue (+14%), raised 2026 guidance to $5.1-$5.135B (11-12% growth), adjusted EBITDA $438M, medium-term framework reintroduced, newsroom.transunion.com, April 2026</w:t>
      </w:r>
    </w:p>
    <w:p>
      <w:pPr>
        <w:spacing w:before="20" w:after="20"/>
        <w:ind w:left="170"/>
      </w:pPr>
      <w:r>
        <w:rPr>
          <w:rFonts w:ascii="Calibri" w:hAnsi="Calibri"/>
          <w:b/>
          <w:color w:val="4A6B25"/>
          <w:sz w:val="15"/>
        </w:rPr>
        <w:t xml:space="preserve">2. </w:t>
      </w:r>
      <w:r>
        <w:rPr>
          <w:rFonts w:ascii="Calibri" w:hAnsi="Calibri"/>
          <w:b w:val="0"/>
          <w:color w:val="3A4A28"/>
          <w:sz w:val="17"/>
        </w:rPr>
        <w:t>TransUnion Full-Year 2025 Results — revenue $4.57B, Q4 growth 14%, net income improvement, 2026 outlook, SEC Form 8-K, February 2026</w:t>
      </w:r>
    </w:p>
    <w:p>
      <w:pPr>
        <w:spacing w:before="20" w:after="20"/>
        <w:ind w:left="170"/>
      </w:pPr>
      <w:r>
        <w:rPr>
          <w:rFonts w:ascii="Calibri" w:hAnsi="Calibri"/>
          <w:b/>
          <w:color w:val="4A6B25"/>
          <w:sz w:val="15"/>
        </w:rPr>
        <w:t xml:space="preserve">3. </w:t>
      </w:r>
      <w:r>
        <w:rPr>
          <w:rFonts w:ascii="Calibri" w:hAnsi="Calibri"/>
          <w:b w:val="0"/>
          <w:color w:val="3A4A28"/>
          <w:sz w:val="17"/>
        </w:rPr>
        <w:t>Chris Cartwright CEO Leadership, AI Strategy, OneTru Platform, and Board Appointments — CIO, Simply Wall St, LinkedIn, 2025-2026</w:t>
      </w:r>
    </w:p>
    <w:p>
      <w:pPr>
        <w:spacing w:before="20" w:after="20"/>
        <w:ind w:left="170"/>
      </w:pPr>
      <w:r>
        <w:rPr>
          <w:rFonts w:ascii="Calibri" w:hAnsi="Calibri"/>
          <w:b/>
          <w:color w:val="4A6B25"/>
          <w:sz w:val="15"/>
        </w:rPr>
        <w:t xml:space="preserve">4. </w:t>
      </w:r>
      <w:r>
        <w:rPr>
          <w:rFonts w:ascii="Calibri" w:hAnsi="Calibri"/>
          <w:b w:val="0"/>
          <w:color w:val="3A4A28"/>
          <w:sz w:val="17"/>
        </w:rPr>
        <w:t>TransUnion 2023 Sustainability Report, Financial Inclusion Programs, and ESG Governance — transunion.com, 2024</w:t>
      </w:r>
    </w:p>
    <w:p>
      <w:pPr>
        <w:spacing w:before="20" w:after="20"/>
        <w:ind w:left="170"/>
      </w:pPr>
      <w:r>
        <w:rPr>
          <w:rFonts w:ascii="Calibri" w:hAnsi="Calibri"/>
          <w:b/>
          <w:color w:val="4A6B25"/>
          <w:sz w:val="15"/>
        </w:rPr>
        <w:t xml:space="preserve">5. </w:t>
      </w:r>
      <w:r>
        <w:rPr>
          <w:rFonts w:ascii="Calibri" w:hAnsi="Calibri"/>
          <w:b w:val="0"/>
          <w:color w:val="3A4A28"/>
          <w:sz w:val="17"/>
        </w:rPr>
        <w:t>Yahoo Finance — TRU Key Statistics: stock price $76.90, Forward P/E 18.40, PEG 1.33, D/E 117.96%, ROE 15.42%, profit margin 14.90%,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