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w:t>
      </w:r>
      <w:r>
        <w:rPr>
          <w:rFonts w:ascii="Calibri" w:hAnsi="Calibri"/>
          <w:b/>
          <w:color w:val="1A2010"/>
          <w:sz w:val="40"/>
        </w:rPr>
        <w:t xml:space="preserve">  Tenaris S.A.</w:t>
      </w:r>
    </w:p>
    <w:p>
      <w:pPr>
        <w:spacing w:after="120"/>
      </w:pPr>
      <w:r>
        <w:rPr>
          <w:rFonts w:ascii="Calibri" w:hAnsi="Calibri"/>
          <w:b/>
          <w:color w:val="6E8450"/>
          <w:sz w:val="18"/>
        </w:rPr>
        <w:t>DIVIDEND SLEEVE · 2026-07-25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Luxembourg</w:t>
      </w:r>
    </w:p>
    <w:p>
      <w:pPr>
        <w:spacing w:after="80"/>
      </w:pPr>
      <w:r>
        <w:rPr>
          <w:rFonts w:ascii="Calibri" w:hAnsi="Calibri"/>
          <w:b w:val="0"/>
          <w:color w:val="3A4A28"/>
          <w:sz w:val="20"/>
        </w:rPr>
        <w:t>Tenaris manufactures and supplies steel pipe products and related services for the global energy industry. Products include casings, tubing, line pipes, and premium connections under the TenarisHydril brand, serving oil and gas drilling, completion, and transportation applications across the Americas, Europe, Middle East, Africa, and Asia Pacific.</w:t>
      </w:r>
    </w:p>
    <w:p>
      <w:r>
        <w:rPr>
          <w:rFonts w:ascii="Calibri" w:hAnsi="Calibri"/>
          <w:b/>
          <w:color w:val="6E8450"/>
          <w:sz w:val="18"/>
        </w:rPr>
        <w:t>24,875 Employees · https://www.tenaris.com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Tenaris has maintained steady operations with incremental improvements in premium connections and coiled tubing, but no transformative pivots or major new product launches — the core OCTG business model remains unchanged [1]. Q1 2026 revenue rose 6% YoY to $3.1B driven by Canada and Brazil strength. AI Deployment (1/2): Industry 4.0 initiatives continue across manufacturing facilities including real-time signal processing, auto-learning control algorithms for machinery, video analytics for safety, and robotic process automation, though no specific revenue or cost savings figures have been disclosed [2]. Market Share (1/2): Tenaris is a global leader in OCTG with the TenarisHydril premium connections brand, winning the Sakarya Phase 3 offshore Turkey contract (22,700 tons seamless + 87,800 tons welded pipes), maintaining meaningful competitive position but not monopoly-like dominance [1][5]. Pipeline (0/2): No specific next-generation products with named timelines; growth remains tied to upstream oil and gas activity cycles and contract wins rather than product innovation [1]. R&amp;D Intensity (1/1): Proprietary Industry 4.0 control systems, hydrogen applications research, and premium connection development represent above-average R&amp;D investment for energy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Tenaris articulates a focus on quality, safety, and sustainability in energy infrastructure — functional and clear but not transformative or uniquely differentiated from industrial peers [2]. Community Impact (1/2): Tenaris employs 24,875 people globally, publishes sustainability reports addressing environmental and social commitments, and maintains community programs across operating regions, but no specific charitable programs or dollar amounts were identified [3]. Employee Retention (1/2): Glassdoor rating shows 82% would recommend working at Tenaris with 3.7/5 culture and values score, though Comparably rated the executive team D+; CEO Paolo Rocca's 24-year tenure provides exceptional leadership continuity [2]. Insider Buying (1/2): The Rocca family's multi-generational commitment through the Techint holding structure demonstrates long-term alignment, and CEO Rocca's recent acquittal in the Argentine notebooks case removes a governance overhang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demonstrates excellent financial infrastructure anchored by a fortress balance sheet — $3.42B cash against $473M debt yields a D/E of just 2.8% (net cash of $2.95B) [6]. Forward P/E of 14.96x is attractive for a cyclical industrial. Profit margin of 16.2% and free cash flow of $1.88B provide strong earnings quality, though ROE of 11.63% remains below the 15% target [6]. Q1 2026 revenue grew 6% YoY to $3.1B, though 5yr revenue CAGR of ~1% reflects cyclical OCTG demand patterns [1]. Dividend profile is solid: 3.09% yield, 21 consecutive years paid, 5 consecutive years of growth, ~47% payout ratio, and ~10% five-year dividend growth CAGR, all funded by $1.88B FCF [6]. The company also deployed $90M in share buybacks in Q1 2026. Liquidity floor easily cleared at ~$113M daily traded value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Tenaris under the Rocca family exhibits meaningful infinite game characteristics — 24+ years of CEO continuity under Paolo Rocca, multi-generational family commitment to steelmaking through Techint, patient investment in Industry 4.0 and hydrogen applications, and a 21-year dividend track record. The recent acquittal in the Argentine notebooks case removes a leadership distraction. However, the business is fundamentally tied to oil and gas cycles, and the generic mission statement lacks the transformative vision Sinek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Tenaris's purpose centers on providing energy access infrastructure globally — a cause validated by the Rocca family's 100+ year multi-generational commitment to steelmaking through Techint and 24 years of CEO Rocca's leadership through multiple industry cycles [1][4]. The commitment to energy infrastructure access connects to a bigger purpose, and strategic decisions consistently trace back to serving global energy needs. However, the articulated mission reads as industrial positioning rather than a vision of a better future that extends beyond current business scope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shows 82% of employees would recommend Tenaris, with 3.7/5 culture and values and 3.9/5 career opportunities ratings [2]. Paolo Rocca's 24-year tenure as CEO provides exceptional leadership continuity, and the company's 24,875 employees span global operations with consistent management frameworks. However, Comparably rated the executive team D+ and work-life balance scores at 2.9/5 suggest room for improvement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acknowledges competition from Vallourec, TMK, and regional OCTG producers, using competitive pressure to invest in premium connections (TenarisHydril) and Industry 4.0 capabilities that differentiate its offerings [2]. The Sakarya Phase 3 contract win demonstrates competing on product quality and service capability rather than price destruction [5]. Management discussions reference improving operational excellence rather than destroying competitors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has shown incremental flexibility — expanding from basic OCTG into premium connections, coiled tubing, offshore applications, and exploring hydrogen infrastructure [1][5]. The Industry 4.0 investment represents adaptation to digital manufacturing. The geographic expansion from Argentina to global operations demonstrates strategic evolution. However, these are evolutionary extensions of the core steel pipe business, not transformative reinventions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Rocca family's multi-generational commitment through industry downturns demonstrates courage — maintaining R&amp;D and Industry 4.0 investment through the 2020 oil price collapse when the dividend was cut from $0.82 to $0.14, prioritizing business continuity over shareholder returns [1]. CEO Rocca's personal resilience through the Argentine notebooks prosecution (recently acquitted) while continuing to lead the company shows individual courage [4]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Tenaris is a well-capitalized global leader in OCTG with a fortress balance sheet — $3.42B cash against $473M debt (D/E 2.8%), $1.88B free cash flow, and net cash of $2.95B [6]. Q1 2026 delivered $3.1B revenue (6% YoY), $564M net income (9% YoY), and 23.7% EBITDA margin, demonstrating operational resilience despite geopolitical disruptions in the Middle East [1]. The stock trades at 14.96x forward earnings with a 3.09% dividend yield, 5 consecutive years of dividend growth, and active buybacks ($90M in Q1), generating a total shareholder yield of 9.19% [6]. The Sakarya Phase 3 contract win (110,500 tons of pipe for offshore Turkey) and continued Vaca Muerta development in Argentina provide near-term revenue catalysts [5].</w:t>
      </w:r>
    </w:p>
    <w:p>
      <w:pPr>
        <w:spacing w:after="120"/>
      </w:pPr>
      <w:r>
        <w:rPr>
          <w:rFonts w:ascii="Calibri" w:hAnsi="Calibri"/>
          <w:b w:val="0"/>
          <w:color w:val="3A4A28"/>
          <w:sz w:val="20"/>
        </w:rPr>
        <w:t>The bear case centers on cyclical exposure, modest long-term growth, and geopolitical risk. Management flagged lower Q2 2026 shipments in the Middle East due to the Iran conflict and Strait of Hormuz disruptions, with recovery contingent on the strait reopening in H2 2026 [1]. Revenue CAGR of ~1% over five years reflects the boom-bust nature of OCTG demand, and the PEG ratio of ~2.5x suggests the stock is fully valued relative to its growth profile. ROE of 11.63% is below cost-of-equity benchmarks, indicating the business does not consistently earn above-market returns [6]. Long-term energy transition risks could structurally reduce oil and gas drilling activity, though near-term AI-driven power demand partially offsets this. The Comparably D+ executive team rating and 2.9/5 work-life balance on Glassdoor suggest organizational culture lags behind operational excellence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recovery in Middle East shipments if Strait of Hormuz disruptions resolve, supporting management's guidance for improved second-half revenue and margins [1]</w:t>
      </w:r>
    </w:p>
    <w:p>
      <w:pPr>
        <w:spacing w:before="40" w:after="40"/>
        <w:ind w:left="283"/>
      </w:pPr>
      <w:r>
        <w:rPr>
          <w:rFonts w:ascii="Calibri" w:hAnsi="Calibri"/>
          <w:b/>
          <w:color w:val="4A6B25"/>
          <w:sz w:val="20"/>
        </w:rPr>
        <w:t xml:space="preserve">2. </w:t>
      </w:r>
      <w:r>
        <w:rPr>
          <w:rFonts w:ascii="Calibri" w:hAnsi="Calibri"/>
          <w:b w:val="0"/>
          <w:color w:val="3A4A28"/>
          <w:sz w:val="20"/>
        </w:rPr>
        <w:t>Argentina Vaca Muerta development driving increased unconventional drilling and OCTG demand as infrastructure investment accelerates [1]</w:t>
      </w:r>
    </w:p>
    <w:p>
      <w:pPr>
        <w:spacing w:before="40" w:after="40"/>
        <w:ind w:left="283"/>
      </w:pPr>
      <w:r>
        <w:rPr>
          <w:rFonts w:ascii="Calibri" w:hAnsi="Calibri"/>
          <w:b/>
          <w:color w:val="4A6B25"/>
          <w:sz w:val="20"/>
        </w:rPr>
        <w:t xml:space="preserve">3. </w:t>
      </w:r>
      <w:r>
        <w:rPr>
          <w:rFonts w:ascii="Calibri" w:hAnsi="Calibri"/>
          <w:b w:val="0"/>
          <w:color w:val="3A4A28"/>
          <w:sz w:val="20"/>
        </w:rPr>
        <w:t>Sakarya Phase 3 offshore Turkey contract (110,500 tons of pipe) and growing offshore backlog providing multi-quarter revenue visibility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disruption risk — Iran conflict and Strait of Hormuz closure directly impacting Middle East shipments and potentially escalating to broader energy supply chain disruption [1]</w:t>
      </w:r>
    </w:p>
    <w:p>
      <w:pPr>
        <w:spacing w:before="40" w:after="40"/>
        <w:ind w:left="283"/>
      </w:pPr>
      <w:r>
        <w:rPr>
          <w:rFonts w:ascii="Calibri" w:hAnsi="Calibri"/>
          <w:b/>
          <w:color w:val="4A6B25"/>
          <w:sz w:val="20"/>
        </w:rPr>
        <w:t xml:space="preserve">2. </w:t>
      </w:r>
      <w:r>
        <w:rPr>
          <w:rFonts w:ascii="Calibri" w:hAnsi="Calibri"/>
          <w:b w:val="0"/>
          <w:color w:val="3A4A28"/>
          <w:sz w:val="20"/>
        </w:rPr>
        <w:t>Cyclical OCTG demand normalization — 5yr revenue CAGR of ~1% reflects structural boom-bust cycles, and any softening in upstream capex would disproportionately impact Tenaris [6]</w:t>
      </w:r>
    </w:p>
    <w:p>
      <w:pPr>
        <w:spacing w:before="40" w:after="40"/>
        <w:ind w:left="283"/>
      </w:pPr>
      <w:r>
        <w:rPr>
          <w:rFonts w:ascii="Calibri" w:hAnsi="Calibri"/>
          <w:b/>
          <w:color w:val="4A6B25"/>
          <w:sz w:val="20"/>
        </w:rPr>
        <w:t xml:space="preserve">3. </w:t>
      </w:r>
      <w:r>
        <w:rPr>
          <w:rFonts w:ascii="Calibri" w:hAnsi="Calibri"/>
          <w:b w:val="0"/>
          <w:color w:val="3A4A28"/>
          <w:sz w:val="20"/>
        </w:rPr>
        <w:t>Energy transition structural risk — long-term decline in fossil fuel drilling activity could permanently reduce OCTG demand, despite near-term AI-driven power demand tailwind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Tenaris's core business — manufacturing steel pipes and providing tubular solutions for oil and gas wells — is deeply physical, capital-intensive, and structurally immune to AI substitution [1]. The company operates blast furnaces, seamless pipe mills, and welding lines requiring massive infrastructure investment and metallurgical expertise. Regulatory requirements for pipe quality in high-pressure, high-temperature environments create additional barriers. Growing AI data center power consumption increases electricity demand, which may drive additional energy exploration and thus higher OCTG demand [1]. Geopolitical disruptions (Iran/Strait of Hormuz mentioned in Q1 2026 guidance) underscore the physical-world nature of this business. AI Opportunity (0/1): While Tenaris deploys AI internally for process optimization and safety monitoring through Industry 4.0 initiatives, these generate operational efficiencies rather than external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Tenaris Q1 2026 Earnings Release — $3.1B revenue (6% YoY), $564M net income (9% YoY), 23.7% EBITDA margin, $503M FCF, Middle East guidance, May 2026</w:t>
      </w:r>
    </w:p>
    <w:p>
      <w:pPr>
        <w:spacing w:before="20" w:after="20"/>
        <w:ind w:left="170"/>
      </w:pPr>
      <w:r>
        <w:rPr>
          <w:rFonts w:ascii="Calibri" w:hAnsi="Calibri"/>
          <w:b/>
          <w:color w:val="4A6B25"/>
          <w:sz w:val="15"/>
        </w:rPr>
        <w:t xml:space="preserve">2. </w:t>
      </w:r>
      <w:r>
        <w:rPr>
          <w:rFonts w:ascii="Calibri" w:hAnsi="Calibri"/>
          <w:b w:val="0"/>
          <w:color w:val="3A4A28"/>
          <w:sz w:val="17"/>
        </w:rPr>
        <w:t>Tenaris Corporate Website / Glassdoor — Industry 4.0, AI deployment, leadership team, Glassdoor 82% recommend, 3.7/5 culture; Comparably D+ executive rating</w:t>
      </w:r>
    </w:p>
    <w:p>
      <w:pPr>
        <w:spacing w:before="20" w:after="20"/>
        <w:ind w:left="170"/>
      </w:pPr>
      <w:r>
        <w:rPr>
          <w:rFonts w:ascii="Calibri" w:hAnsi="Calibri"/>
          <w:b/>
          <w:color w:val="4A6B25"/>
          <w:sz w:val="15"/>
        </w:rPr>
        <w:t xml:space="preserve">3. </w:t>
      </w:r>
      <w:r>
        <w:rPr>
          <w:rFonts w:ascii="Calibri" w:hAnsi="Calibri"/>
          <w:b w:val="0"/>
          <w:color w:val="3A4A28"/>
          <w:sz w:val="17"/>
        </w:rPr>
        <w:t>Tenaris Sustainability Reports — ESG commitments, environmental and community programs,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StockTitan — Argentine court acquits Tenaris CEO Paolo Rocca in notebooks case, 2026</w:t>
      </w:r>
    </w:p>
    <w:p>
      <w:pPr>
        <w:spacing w:before="20" w:after="20"/>
        <w:ind w:left="170"/>
      </w:pPr>
      <w:r>
        <w:rPr>
          <w:rFonts w:ascii="Calibri" w:hAnsi="Calibri"/>
          <w:b/>
          <w:color w:val="4A6B25"/>
          <w:sz w:val="15"/>
        </w:rPr>
        <w:t xml:space="preserve">5. </w:t>
      </w:r>
      <w:r>
        <w:rPr>
          <w:rFonts w:ascii="Calibri" w:hAnsi="Calibri"/>
          <w:b w:val="0"/>
          <w:color w:val="3A4A28"/>
          <w:sz w:val="17"/>
        </w:rPr>
        <w:t>Tenaris Press Release — Sakarya Phase 3 offshore Turkey contract for line pipe, OCTG, coating and services (22,700 tons seamless + 87,800 tons welded),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TS financial data: $29.34B market cap, PE 14.92, forward PE 14.96, D/E 2.8%, ROE 11.63%, 3.09% yield, FCF $1.88B,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