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TTEK</w:t>
      </w:r>
      <w:r>
        <w:rPr>
          <w:rFonts w:ascii="Calibri" w:hAnsi="Calibri"/>
          <w:b/>
          <w:color w:val="1A2010"/>
          <w:sz w:val="40"/>
        </w:rPr>
        <w:t xml:space="preserve">  Tetra Tech, Inc.</w:t>
      </w:r>
    </w:p>
    <w:p>
      <w:pPr>
        <w:spacing w:after="120"/>
      </w:pPr>
      <w:r>
        <w:rPr>
          <w:rFonts w:ascii="Calibri" w:hAnsi="Calibri"/>
          <w:b/>
          <w:color w:val="6E8450"/>
          <w:sz w:val="18"/>
        </w:rPr>
        <w:t>GROWTH SLEEVE · 2026-07-11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NasdaqGS · United States</w:t>
      </w:r>
    </w:p>
    <w:p>
      <w:pPr>
        <w:spacing w:after="80"/>
      </w:pPr>
      <w:r>
        <w:rPr>
          <w:rFonts w:ascii="Calibri" w:hAnsi="Calibri"/>
          <w:b w:val="0"/>
          <w:color w:val="3A4A28"/>
          <w:sz w:val="20"/>
        </w:rPr>
        <w:t>Tetra Tech, Inc. provides high-end consulting and engineering services in water, environment, and sustainable infrastructure in the United States and internationally. Operating through Government Services Group and Commercial/International Services Group, it serves federal, state, and commercial clients on water management, environmental remediation, and infrastructure projects.</w:t>
      </w:r>
    </w:p>
    <w:p>
      <w:r>
        <w:rPr>
          <w:rFonts w:ascii="Calibri" w:hAnsi="Calibri"/>
          <w:b/>
          <w:color w:val="6E8450"/>
          <w:sz w:val="18"/>
        </w:rPr>
        <w:t>25,000 Employees · https://www.tetratech.com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Tetra Tech has successfully positioned itself as the premier water and environmental engineering consultancy, growing from $3B to $4B+ in net revenue over the past few years through strategic acquisitions and organic growth in high-demand sectors like water infrastructure, PFAS remediation, and climate resilience [1]. AI Deployment (1/2): Deploying AI and digital twin technology for infrastructure monitoring, water system optimization, and environmental modeling, though no specific AI revenue figures disclosed. Market Share (2/2): Clear leader in US water/environmental engineering services with $4.28B backlog and dominant positions in federal environmental contracts. Product Pipeline (0/2): Consulting services firm without traditional product pipeline visibility. R&amp;D Intensity (1/1): High technical intensity through proprietary environmental assessment and remediation methodologies.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Tetra Tech's purpose of 'leading with science' to solve complex challenges in water, environment, and infrastructure is specific, thoughtful, and directly connected to critical global needs — clean water access, climate adaptation, and environmental protection. The mission shapes client selection and capability investment. Community Impact (1/2): Projects directly serve communities through water treatment, environmental cleanup, and disaster recovery. Employee Retention (1/2): CEO Dan Batrack has led for 20+ years, providing exceptional leadership continuity. 25,000 employees with strong technical culture. Insider Buying (0/2): No notable insider buying data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Q2 2026 revenue of $1.22B with net revenue of $1.05B (up 8% YoY excluding USAID/DOS), EBITDA margin up 90bps YoY [1]. D/E of 59.5% is within the 70% target (1.0). ROE of 25.64% exceeds the 15% target (1.0, 2x weight). Forward PE of 18.06 is below the 20 target (1.0). Profit margin of 10.0% is below the 20% target (0.50). Revenue growth of -4.9% YoY is below target due to USAID/DOS headwinds, though core business grew 8% (0.50). PEG of 2.1 is above the 1.0 target (0.45, 2x weight). Raised FY2026 guidance to $4.25-4.40B net revenue and $1.50-1.58 adjusted EPS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Tetra Tech under CEO Dan Batrack demonstrates strong infinite game characteristics — 20+ years of consistent leadership pursuing a clear environmental purpose, steady capability building through acquisitions, and investment in long-term trends (water scarcity, PFAS, climate resilience) that may take decades to fully materialize.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Tetra Tech's purpose of leading with science to solve water, environmental, and infrastructure challenges is genuine, specific, and shapes strategic decisions. The company has consistently invested in capabilities aligned with long-term global needs — clean water, climate adaptation, environmental protection — rather than chasing short-term trends. However, it hasn't been tested through a dramatic crisis or leadership change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Dan Batrack's 20+ year tenure provides exceptional leadership stability. 25,000 employees across a technical consulting culture that values professional expertise and scientific rigor. The decentralized operating model empowers project teams.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Tetra Tech frames competition with AECOM, Jacobs, and WSP as motivation to maintain technical excellence and client service quality rather than market share warfare. The company focuses on its water/environmental niche rather than competing broadly.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Tetra Tech has expanded from pure environmental consulting into water infrastructure, renewable energy siting, and digital solutions — meaningful extensions that reflect strategic evolution. However, the core consulting model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Batrack has consistently invested in water and environmental capabilities during periods when these sectors were not fashionable, maintaining R&amp;D and talent investment through economic downturns. The decision to maintain USAID/DOS exposure despite federal spending uncertainty demonstrates long-term commitment to mission-aligned work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Tetra Tech delivered strong Q2 2026 results with core net revenue growing 8% YoY (excluding USAID/DOS headwinds), EBITDA margin expanding 90bps, and raised FY2026 guidance to $4.25-4.40B net revenue [1]. Backlog of $4.28B (up 8% sequentially) provides revenue visibility. ROE of 25.64% and D/E of 59.5% demonstrate financial quality. The company is uniquely positioned for secular growth in water infrastructure (aging US systems), PFAS remediation, and climate resilience, with CEO Batrack's 20+ year tenure providing strategic consistency.</w:t>
      </w:r>
    </w:p>
    <w:p>
      <w:pPr>
        <w:spacing w:after="120"/>
      </w:pPr>
      <w:r>
        <w:rPr>
          <w:rFonts w:ascii="Calibri" w:hAnsi="Calibri"/>
          <w:b w:val="0"/>
          <w:color w:val="3A4A28"/>
          <w:sz w:val="20"/>
        </w:rPr>
        <w:t>The primary risk is USAID/DOS funding uncertainty — federal government spending changes have created a headwind that masks the strong underlying core growth. At 18.06x forward PE and 2.1 PEG, the stock is not cheap for a consulting firm with 10% profit margins. Revenue declined 4.9% YoY on a reported basis due to government contract headwinds, and visibility on the timing of recovery remains uncertain. The consulting business model has inherent limitations on scalability compared to product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business growing 8% YoY with EBITDA margin expansion of 90bps — the USAID/DOS headwind will eventually anniversary, revealing stronger underlying growth</w:t>
      </w:r>
    </w:p>
    <w:p>
      <w:pPr>
        <w:spacing w:before="40" w:after="40"/>
        <w:ind w:left="283"/>
      </w:pPr>
      <w:r>
        <w:rPr>
          <w:rFonts w:ascii="Calibri" w:hAnsi="Calibri"/>
          <w:b/>
          <w:color w:val="4A6B25"/>
          <w:sz w:val="20"/>
        </w:rPr>
        <w:t xml:space="preserve">2. </w:t>
      </w:r>
      <w:r>
        <w:rPr>
          <w:rFonts w:ascii="Calibri" w:hAnsi="Calibri"/>
          <w:b w:val="0"/>
          <w:color w:val="3A4A28"/>
          <w:sz w:val="20"/>
        </w:rPr>
        <w:t>PFAS remediation and water infrastructure spending represent multi-decade secular tailwinds with $600B+ in US water infrastructure investment needed</w:t>
      </w:r>
    </w:p>
    <w:p>
      <w:pPr>
        <w:spacing w:before="40" w:after="40"/>
        <w:ind w:left="283"/>
      </w:pPr>
      <w:r>
        <w:rPr>
          <w:rFonts w:ascii="Calibri" w:hAnsi="Calibri"/>
          <w:b/>
          <w:color w:val="4A6B25"/>
          <w:sz w:val="20"/>
        </w:rPr>
        <w:t xml:space="preserve">3. </w:t>
      </w:r>
      <w:r>
        <w:rPr>
          <w:rFonts w:ascii="Calibri" w:hAnsi="Calibri"/>
          <w:b w:val="0"/>
          <w:color w:val="3A4A28"/>
          <w:sz w:val="20"/>
        </w:rPr>
        <w:t>Backlog of $4.28B up 8% sequentially provides visibility and signals continued demand strength across government and commercial clients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USAID/DOS federal spending uncertainty creates a drag on reported revenue growth and may persist depending on government budget priorities</w:t>
      </w:r>
    </w:p>
    <w:p>
      <w:pPr>
        <w:spacing w:before="40" w:after="40"/>
        <w:ind w:left="283"/>
      </w:pPr>
      <w:r>
        <w:rPr>
          <w:rFonts w:ascii="Calibri" w:hAnsi="Calibri"/>
          <w:b/>
          <w:color w:val="4A6B25"/>
          <w:sz w:val="20"/>
        </w:rPr>
        <w:t xml:space="preserve">2. </w:t>
      </w:r>
      <w:r>
        <w:rPr>
          <w:rFonts w:ascii="Calibri" w:hAnsi="Calibri"/>
          <w:b w:val="0"/>
          <w:color w:val="3A4A28"/>
          <w:sz w:val="20"/>
        </w:rPr>
        <w:t>PEG of 2.1 suggests the stock may be fairly valued to slightly overvalued relative to its mid-single-digit growth trajectory</w:t>
      </w:r>
    </w:p>
    <w:p>
      <w:pPr>
        <w:spacing w:before="40" w:after="40"/>
        <w:ind w:left="283"/>
      </w:pPr>
      <w:r>
        <w:rPr>
          <w:rFonts w:ascii="Calibri" w:hAnsi="Calibri"/>
          <w:b/>
          <w:color w:val="4A6B25"/>
          <w:sz w:val="20"/>
        </w:rPr>
        <w:t xml:space="preserve">3. </w:t>
      </w:r>
      <w:r>
        <w:rPr>
          <w:rFonts w:ascii="Calibri" w:hAnsi="Calibri"/>
          <w:b w:val="0"/>
          <w:color w:val="3A4A28"/>
          <w:sz w:val="20"/>
        </w:rPr>
        <w:t>Consulting business model limits scalability — margin expansion is constrained by labor intensity and competitive pricing in government contracts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Tetra Tech's core business — field-based environmental assessment, water treatment engineering, and infrastructure consulting — requires physical site visits, regulatory expertise, professional engineering licenses, and relationships with government agencies that AI cannot substitute [1]. Environmental remediation projects involve complex, site-specific conditions that require human judgment and physical-world execution. The regulated nature of environmental consulting (EPA, state agencies) creates additional structural protection. AI Opportunity (1/1): Tetra Tech deploys AI and digital tools for environmental monitoring, predictive modeling, and project optimization, generating efficiency gains that contribute to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Tetra Tech Q2 2026 Earnings Release — investor.tetratech.com, April 2026</w:t>
      </w:r>
    </w:p>
    <w:p>
      <w:pPr>
        <w:spacing w:before="20" w:after="20"/>
        <w:ind w:left="170"/>
      </w:pPr>
      <w:r>
        <w:rPr>
          <w:rFonts w:ascii="Calibri" w:hAnsi="Calibri"/>
          <w:b/>
          <w:color w:val="4A6B25"/>
          <w:sz w:val="15"/>
        </w:rPr>
        <w:t xml:space="preserve">2. </w:t>
      </w:r>
      <w:r>
        <w:rPr>
          <w:rFonts w:ascii="Calibri" w:hAnsi="Calibri"/>
          <w:b w:val="0"/>
          <w:color w:val="3A4A28"/>
          <w:sz w:val="17"/>
        </w:rPr>
        <w:t>Tetra Tech Q2 2026 Earnings Call Highlights — Yahoo Finance, 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TTEK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