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TTE</w:t>
      </w:r>
      <w:r>
        <w:rPr>
          <w:rFonts w:ascii="Calibri" w:hAnsi="Calibri"/>
          <w:b/>
          <w:color w:val="1A2010"/>
          <w:sz w:val="40"/>
        </w:rPr>
        <w:t xml:space="preserve">  TotalEnergies SE</w:t>
      </w:r>
    </w:p>
    <w:p>
      <w:pPr>
        <w:spacing w:after="120"/>
      </w:pPr>
      <w:r>
        <w:rPr>
          <w:rFonts w:ascii="Calibri" w:hAnsi="Calibri"/>
          <w:b/>
          <w:color w:val="6E8450"/>
          <w:sz w:val="18"/>
        </w:rPr>
        <w:t>DIVIDEND SLEEVE · 2026-07-22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Integrated · NYSE · France</w:t>
      </w:r>
    </w:p>
    <w:p>
      <w:pPr>
        <w:spacing w:after="80"/>
      </w:pPr>
      <w:r>
        <w:rPr>
          <w:rFonts w:ascii="Calibri" w:hAnsi="Calibri"/>
          <w:b w:val="0"/>
          <w:color w:val="3A4A28"/>
          <w:sz w:val="20"/>
        </w:rPr>
        <w:t>TotalEnergies SE is a global integrated energy company producing and marketing oil, natural gas, LNG, renewable electricity, and low-carbon fuels. Operations span exploration and production, refining and chemicals, integrated power (solar, wind, battery storage), and LNG across 130+ countries. One of the world's five largest publicly traded integrated energy companies with ~2.5 million barrels of oil equivalent per day production.</w:t>
      </w:r>
    </w:p>
    <w:p>
      <w:r>
        <w:rPr>
          <w:rFonts w:ascii="Calibri" w:hAnsi="Calibri"/>
          <w:b/>
          <w:color w:val="6E8450"/>
          <w:sz w:val="18"/>
        </w:rPr>
        <w:t>101,000 Employees · https://totalenergies.com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TotalEnergies has executed a meaningful strategic pivot from pure oil &amp; gas to integrated multi-energy, rebranding from Total in 2021 and growing renewable power generation capacity to 24 GW. The integrated power segment recorded $545M in Q1 2026 earnings (up 8% YoY), validating the transition [1]. However, this is an industry-wide pivot driven by regulation and market pressure, not a company-defining transformation on par with Apple or NVIDIA pivots. AI Deployment (1/2): Partnership with Mistral AI (June 2025) to build a joint innovation lab deploying generative AI across 1,000 researchers, plus AI-assisted control rooms with Honeywell for refinery operations [3][4]. Internal productivity gains reported but no customer-facing AI products or quantified revenue impact. Market Share (1/2): Top-5 global integrated energy major with strong LNG portfolio (~50 Mtpa) and 4% organic production growth in Q1 2026 [1]. Not defining a new category but a meaningful player in the energy transition, ranking #2 among European majors behind Shell in LNG scale. Product Pipeline (1/2): Suriname offshore development, Mozambique LNG restart, and expansion of renewable capacity toward 35 GW+ by 2030 are specific pipeline items. Q2 2026 production expected to grow 4% YoY [1]. R&amp;D Intensity (0/1): R&amp;D spending approximately 1% of revenue, below energy sector peers as TotalEnergies relies more on capital deployment than traditional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TotalEnergies' purpose -- 'to provide the world with more affordable, more available, and cleaner energy' -- is specific and connects the company's work to global energy transition and human welfare. It identifies both stakeholders (the world) and a distinctive approach (affordable + clean), differentiating from peers focused solely on shareholder returns. However, the mission is recent (post-2021 rebrand) and hasn't been validated through decades of consistent execution. Community Impact (1/2): TotalEnergies Foundation supports education and cultural heritage programs across Africa and developing nations, and the company commits to community benefit-sharing in host countries. Environmental controversies around the East African crude oil pipeline and Mozambique operations partially offset community credibility [5]. Employee Retention (1/2): Glassdoor rating of 4.0/5 with 82% of 7,619 reviewers recommending the company as a workplace and 63% expressing positive business outlook [5]. CEO Patrick Pouyanne's 11.5-year tenure and strong French engineering culture contribute to leadership stability. Insider Buying (0/2): No evidence of meaningful net insider buying by executives in the last 12 months. Pouyanne's compensation is primarily salary and performance-based with standard equity components.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adjusted net income of $5.4B (up 29% YoY) and $8.6B cash flow, with the board raising the interim dividend 5.9% to EUR 0.90/share -- the highest dividend growth among European oil majors [1]. D/E of 51% is well below the 70% target, reflecting conservative balance sheet management for a capital-intensive energy company. ROE of 12.51% falls short of the 15% target, weighed down by the massive asset base required for upstream operations. Forward P/E of 7.65 is deeply discounted, reflecting European energy sector valuation compression and ESG-related capital flight [2]. Profit margin of 8.20% is structurally limited by the refining and chemicals segment's low-margin, high-volume nature. Payout ratio of 81.08% is elevated and scores poorly against the 40% target, reflecting TotalEnergies' aggressive shareholder return policy. Five-year dividend growth CAGR of 5.17% falls just short of the 6% target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TotalEnergies under Pouyanne's 11.5-year tenure has demonstrated genuine strategic evolution from a pure oil major to a multi-energy platform, committing billions to renewables and symbolically rebranding the company. However, the transition is partly driven by regulatory pressure and market forces rather than a deeply held Just Cause, and hydrocarbons still generate approximately 75% of earnings. Sinek would recognize the strategic intentionality but question whether the commitment to clean energy would hold if oil prices surged and regulatory pressure eased.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TotalEnergies' purpose of providing 'more affordable, more available, and cleaner energy' is genuine and connects the company's work to a larger vision of the energy transition. The 2021 rebrand and commitment to 30-35% of capex in low-carbon energy by 2030 demonstrate institutional commitment. Pouyanne references the energy transition in strategic decisions, and capital allocation clearly traces to this purpose (24 GW renewables capacity, growing to 35 GW+). However, the purpose hasn't been tested through crisis -- if oil prices surged to $120/bbl, would TotalEnergies accelerate renewables or redirect capital to upstream? The dual identity creates inherent tension.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4.0/5 rating across 7,619 reviews with 82% recommending the workplace suggests adequate organizational trust [5]. CEO Pouyanne's 11.5-year tenure and the company's strong French engineering culture provide leadership continuity. However, TotalEnergies operates across 130+ countries with 101,000 employees, making uniform culture difficult. Environmental controversies in Mozambique and East Africa suggest that trust and safety standards may vary significantly by operating region.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TotalEnergies' competitive language is predominantly about market positioning -- being the 'best European major,' achieving 'the highest dividend growth among Oil and Gas majors,' and growing faster than peers in renewables [1]. Pouyanne has considered relisting shares in the US to achieve better valuation than European peers, a fundamentally comparative (finite) frame focused on beating competitors' multiples rather than learning from their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TotalEnergies has evolved its business model from pure oil &amp; gas to multi-energy, allocating 30-35% of capex to low-carbon energy and building 24 GW of renewable capacity. The rebrand to TotalEnergies was symbolically significant. However, this is incremental adaptation -- the company has not abandoned its fossil fuel core. Upstream oil and gas still generate the vast majority of earnings ($4.0B upstream vs $545M integrated power in Q1 2026) [1]. Sinek would see evolution, not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Pouyanne has invested billions in renewables and LNG while peers hesitated, and the 5.9% dividend increase during energy price volatility shows confidence in the strategy [1]. The decision to explore a US listing to escape European ESG-driven valuation discount demonstrates strategic boldness. However, TotalEnergies hedges its bets by maintaining robust upstream investment alongside renewables -- this is pragmatic capital allocation rather than the costly principled stand Sinek values.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TotalEnergies delivered a strong Q1 2026 with adjusted net income of $5.4B (up 29% YoY), $8.6B in cash flow, and 4% organic production growth despite Middle East conflict disruptions [1]. The board increased the interim dividend 5.9% to EUR 0.90/share, the highest growth among European oil majors. At 7.65x forward earnings and 5.04% dividend yield, TTE trades at a deep discount to US peers (Chevron ~10x, Exxon ~12x), reflecting European ESG-driven capital flight rather than fundamental weakness. The refining and chemicals segment quintupled earnings to $1.6B, LNG grew 2% to $1.3B, and integrated power rose 8% to $545M, demonstrating the multi-energy strategy's earnings diversification value [1]. Free cash flow generation comfortably covers the $3.94 annual dividend with capacity for continued share buybacks.</w:t>
      </w:r>
    </w:p>
    <w:p>
      <w:pPr>
        <w:spacing w:after="120"/>
      </w:pPr>
      <w:r>
        <w:rPr>
          <w:rFonts w:ascii="Calibri" w:hAnsi="Calibri"/>
          <w:b w:val="0"/>
          <w:color w:val="3A4A28"/>
          <w:sz w:val="20"/>
        </w:rPr>
        <w:t>The primary risk is commodity price exposure -- despite multi-energy diversification, upstream oil &amp; gas still generates approximately 75% of earnings, leaving TTE vulnerable to sustained oil price weakness below $60/barrel. The 81% payout ratio is elevated by IOWN standards and would be unsustainable in a prolonged downturn without dividend cuts. Revenue has declined approximately 3% YoY as commodity prices normalized from 2022 peaks, and ROE of 12.51% falls below the 15% target for a capital-intensive business [2]. The European listing discount persists despite management's exploration of a US relisting, and ESG controversies around the East African crude oil pipeline and Mozambique operations create ongoing reputational and regulatory headwinds. TotalEnergies' energy transition strategy, while industry-leading among European majors, remains a hedge rather than a commitment -- $4.0B in Q1 upstream earnings dwarfs $545M in integrated power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production momentum with 4%+ organic growth through H2 2026 and refining margins above cycle average, driving potential for further dividend increases along the 5.9% growth trajectory [1]</w:t>
      </w:r>
    </w:p>
    <w:p>
      <w:pPr>
        <w:spacing w:before="40" w:after="40"/>
        <w:ind w:left="283"/>
      </w:pPr>
      <w:r>
        <w:rPr>
          <w:rFonts w:ascii="Calibri" w:hAnsi="Calibri"/>
          <w:b/>
          <w:color w:val="4A6B25"/>
          <w:sz w:val="20"/>
        </w:rPr>
        <w:t xml:space="preserve">2. </w:t>
      </w:r>
      <w:r>
        <w:rPr>
          <w:rFonts w:ascii="Calibri" w:hAnsi="Calibri"/>
          <w:b w:val="0"/>
          <w:color w:val="3A4A28"/>
          <w:sz w:val="20"/>
        </w:rPr>
        <w:t>AI data center electricity demand creating structural tailwind for the integrated power segment, which grew 8% in Q1 2026 and has 24 GW of renewable capacity with a 35 GW+ pipeline by 2030</w:t>
      </w:r>
    </w:p>
    <w:p>
      <w:pPr>
        <w:spacing w:before="40" w:after="40"/>
        <w:ind w:left="283"/>
      </w:pPr>
      <w:r>
        <w:rPr>
          <w:rFonts w:ascii="Calibri" w:hAnsi="Calibri"/>
          <w:b/>
          <w:color w:val="4A6B25"/>
          <w:sz w:val="20"/>
        </w:rPr>
        <w:t xml:space="preserve">3. </w:t>
      </w:r>
      <w:r>
        <w:rPr>
          <w:rFonts w:ascii="Calibri" w:hAnsi="Calibri"/>
          <w:b w:val="0"/>
          <w:color w:val="3A4A28"/>
          <w:sz w:val="20"/>
        </w:rPr>
        <w:t>Potential US listing or dual listing to escape European ESG-driven valuation discount, which could unlock 30-40% multiple re-rating to US energy peer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Brent crude sustained below $60/barrel would compress upstream earnings and make the 81% payout ratio unsustainable, risking the 30-year consecutive dividend streak and 5.04% yield that anchors the investment case</w:t>
      </w:r>
    </w:p>
    <w:p>
      <w:pPr>
        <w:spacing w:before="40" w:after="40"/>
        <w:ind w:left="283"/>
      </w:pPr>
      <w:r>
        <w:rPr>
          <w:rFonts w:ascii="Calibri" w:hAnsi="Calibri"/>
          <w:b/>
          <w:color w:val="4A6B25"/>
          <w:sz w:val="20"/>
        </w:rPr>
        <w:t xml:space="preserve">2. </w:t>
      </w:r>
      <w:r>
        <w:rPr>
          <w:rFonts w:ascii="Calibri" w:hAnsi="Calibri"/>
          <w:b w:val="0"/>
          <w:color w:val="3A4A28"/>
          <w:sz w:val="20"/>
        </w:rPr>
        <w:t>European ESG regulatory pressure (EU CSRD, carbon border adjustment) and activist campaigns could force accelerated fossil fuel divestment at sub-optimal valuations, further widening the European listing discount vs US energy majors</w:t>
      </w:r>
    </w:p>
    <w:p>
      <w:pPr>
        <w:spacing w:before="40" w:after="40"/>
        <w:ind w:left="283"/>
      </w:pPr>
      <w:r>
        <w:rPr>
          <w:rFonts w:ascii="Calibri" w:hAnsi="Calibri"/>
          <w:b/>
          <w:color w:val="4A6B25"/>
          <w:sz w:val="20"/>
        </w:rPr>
        <w:t xml:space="preserve">3. </w:t>
      </w:r>
      <w:r>
        <w:rPr>
          <w:rFonts w:ascii="Calibri" w:hAnsi="Calibri"/>
          <w:b w:val="0"/>
          <w:color w:val="3A4A28"/>
          <w:sz w:val="20"/>
        </w:rPr>
        <w:t>East African crude oil pipeline (EACOP) and Mozambique LNG controversies risk project delays, cost overruns, and reputational damage that directly impact production growth guidance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TotalEnergies' core business is structurally immune to AI disruption -- oil extraction, refining, pipeline operations, LNG shipping, and power generation are physical-world operations that AI cannot substitute. The company operates 12 refineries, 40+ upstream production sites, and a growing fleet of solar/wind installations requiring physical infrastructure, specialized engineering, and regulatory compliance far beyond AI's reach. AI data centers are driving incremental electricity demand, directly benefiting TotalEnergies' integrated power segment which grew 8% in Q1 2026 to $545M [1]. Analysts see zero substitution risk; energy companies are increasingly recognized as AI beneficiaries through increased power consumption. AI Opportunity (1/1): TotalEnergies generates measurable operational value from AI through its Mistral AI partnership deploying generative AI for R&amp;D optimization across 1,000 researchers, and Honeywell AI-assisted control rooms reducing refinery operating costs and improving safety metrics [3][4]. Supply chain AI has enabled faster demand response and reduced logistics costs.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TotalEnergies Q1 2026 Results Press Release -- BusinessWire, April 28,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TTE Key Statistics and Valuation,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TotalEnergies and Mistral AI Partnership Announcement -- TotalEnergies.com, June 2025</w:t>
      </w:r>
    </w:p>
    <w:p>
      <w:pPr>
        <w:spacing w:before="20" w:after="20"/>
        <w:ind w:left="170"/>
      </w:pPr>
      <w:r>
        <w:rPr>
          <w:rFonts w:ascii="Calibri" w:hAnsi="Calibri"/>
          <w:b/>
          <w:color w:val="4A6B25"/>
          <w:sz w:val="15"/>
        </w:rPr>
        <w:t xml:space="preserve">4. </w:t>
      </w:r>
      <w:r>
        <w:rPr>
          <w:rFonts w:ascii="Calibri" w:hAnsi="Calibri"/>
          <w:b w:val="0"/>
          <w:color w:val="3A4A28"/>
          <w:sz w:val="17"/>
        </w:rPr>
        <w:t>TotalEnergies and Honeywell AI-Assisted Control Room -- TotalEnergies USA, 2025</w:t>
      </w:r>
    </w:p>
    <w:p>
      <w:pPr>
        <w:spacing w:before="20" w:after="20"/>
        <w:ind w:left="170"/>
      </w:pPr>
      <w:r>
        <w:rPr>
          <w:rFonts w:ascii="Calibri" w:hAnsi="Calibri"/>
          <w:b/>
          <w:color w:val="4A6B25"/>
          <w:sz w:val="15"/>
        </w:rPr>
        <w:t xml:space="preserve">5. </w:t>
      </w:r>
      <w:r>
        <w:rPr>
          <w:rFonts w:ascii="Calibri" w:hAnsi="Calibri"/>
          <w:b w:val="0"/>
          <w:color w:val="3A4A28"/>
          <w:sz w:val="17"/>
        </w:rPr>
        <w:t>Glassdoor -- TotalEnergies Employee Reviews (4.0/5, 7,619 reviews),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TTE Key Statistics and Dividend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