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TTI</w:t>
      </w:r>
      <w:r>
        <w:rPr>
          <w:rFonts w:ascii="Calibri" w:hAnsi="Calibri"/>
          <w:b/>
          <w:color w:val="1A2010"/>
          <w:sz w:val="40"/>
        </w:rPr>
        <w:t xml:space="preserve">  TETRA Technologies, Inc.</w:t>
      </w:r>
    </w:p>
    <w:p>
      <w:pPr>
        <w:spacing w:after="120"/>
      </w:pPr>
      <w:r>
        <w:rPr>
          <w:rFonts w:ascii="Calibri" w:hAnsi="Calibri"/>
          <w:b/>
          <w:color w:val="6E8450"/>
          <w:sz w:val="18"/>
        </w:rPr>
        <w:t>GROWTH SLEEVE · 2026-07-20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Conglomerates · NYSE · United States</w:t>
      </w:r>
    </w:p>
    <w:p>
      <w:pPr>
        <w:spacing w:after="80"/>
      </w:pPr>
      <w:r>
        <w:rPr>
          <w:rFonts w:ascii="Calibri" w:hAnsi="Calibri"/>
          <w:b w:val="0"/>
          <w:color w:val="3A4A28"/>
          <w:sz w:val="20"/>
        </w:rPr>
        <w:t>TETRA Technologies, Inc. is an energy services and solutions company operating through Completion Fluids &amp; Products and Water &amp; Flowback Services segments. The company manufactures clear brine fluids, additives, and calcium chloride products for the oil and gas industry, while also providing water management, frac flowback, and production testing services globally. TETRA is expanding into low-carbon energy markets with zinc bromide battery technology and critical mineral resources (bromine and lithium) from Arkansas Smackover Formation leases. Market cap ~$1.4B.</w:t>
      </w:r>
    </w:p>
    <w:p>
      <w:r>
        <w:rPr>
          <w:rFonts w:ascii="Calibri" w:hAnsi="Calibri"/>
          <w:b/>
          <w:color w:val="6E8450"/>
          <w:sz w:val="18"/>
        </w:rPr>
        <w:t>1,400 Employees · https://onetetra.com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TETRA has executed a meaningful pivot toward low-carbon energy solutions, launching TETRA PureFlow ultra-pure zinc bromide for battery technology and expanding water management services for produced water recycling — both represent new revenue streams beyond traditional oilfield services [1][2]. The September 2025 resource upgrade was transformational: Measured and Indicated Bromine Resources increased from 158 ktons to 3.57 million tons, and lithium resources surged 163% to 585 ktons of lithium carbonate equivalent [2]. AI Deployment (0/2): No evidence of AI-powered products or measurable AI-driven operational savings in TETRA's public disclosures or earnings calls. Market Share Leadership (1/2): TETRA is a meaningful player in completion fluids with global presence across six continents, but is not a category leader — it competes against Halliburton and SLB [1]. Product Pipeline (1/2): The massively expanded bromine and lithium resource base creates long-term pipeline optionality, but specific commercial timelines and revenue targets for critical mineral extraction remain vague. R&amp;D Intensity (1/1): TETRA's investment in PureFlow zinc bromide technology for energy storage represents above-average R&amp;D commitment for an oilfield services company of its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TETRA positions itself around sustainability and energy transition — 'a leading provider of solutions and systems that enable green completions' — which is clear but not distinctive beyond being a responsible energy services provider [3]. Community Impact (1/2): TETRA's sustainability commitment includes environmental stewardship, human rights standards, and workforce wellbeing, but specific charitable programs or community investment dollar amounts are limited [3]. Employee Retention (0/2): With 1,400 employees and no publicly available retention data or standout Glassdoor metrics specific to TETRA Technologies, there is insufficient evidence to score this item. Insider Buying (0/2): CEO Brady Murphy sold 50,061 shares on July 1-2, 2026 at ~$10.72/share through a pre-set 10b5-1 plan, representing net insider selling [4]. While 10b5-1 sales are routine, they signal no above-and-beyond conviction from leadership; no meaningful open-market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was a record quarter with $156M revenue and $26M adjusted EBITDA — 10-year highs — and EPS of $0.06 (up 100% YoY) [1]. Balance sheet has improved with D/E at 63.4% (down from 81.6%), scoring 1.0 at target [5]. Low leverage ratio of 1.5x provides flexibility. ROE of 3.0% remains well below the 15% target (score 0.20). Revenue growth YoY of ~5% scores 0.83 — modest growth as the core oilfield business stabilizes. 5-year revenue CAGR of ~4.5% scores 0.63 [5]. Forward P/E of 37.9x has worsened as the stock price rose 22% to $10.72, scoring 0.55 [5]. Profit margin of 1.35% (improved from 0.48%) remains barely above zero, scoring 0.07. 2026 EPS estimate increased from $0.22 to $0.265 [1]. Liquidity floor passed: ~1.8M avg volume × $10.72 = $19.3M daily. Mechanical calculation: weighted 5.09/10 = 5/10.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TETRA Technologies shows meaningful long-term thinking through its pivot toward low-carbon energy solutions, zinc bromide battery technology, and critical mineral resource development, representing genuine strategic evolution beyond its oilfield services roots. However, CEO Murphy's stock sales, the company's competitive language focused on market positioning, and the absence of a deeper purpose beyond energy transition positioning keep it in mixed territory. Murphy's 8+ year tenure provides adequate 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TETRA's purpose centers on 'enabling green completions' and sustainability in energy services, which reads more as market positioning than a deeply articulated vision of a better future [3]. The massive bromine and lithium resource upgrade suggests ambition in critical minerals, but leadership has not articulated this as a Just Cause that transcends quarterly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Brady Murphy has served since May 2019, providing 7+ years of leadership continuity [4]. The 1,400-employee workforce is small enough for direct leadership influence, but no specific retention data, cultural surveys, or employee sentiment data is available to assess trust levels beyond generic sustainability report language.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TETRA's competitive framing focuses on being a 'leading provider' and its market position in completion fluids [1]. Management does not reference Halliburton, SLB, or ChampionX as worthy rivals whose strengths inform TETRA's improvement — the language is about competitive positioning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TETRA has shown meaningful strategic evolution by expanding from pure oilfield services into zinc bromide battery technology (PureFlow) and critical mineral resource development — the 22x increase in Measured and Indicated Bromine Resources and 163% lithium resource expansion represent a genuine diversification path [1][2]. These are incremental rather than transformative pivots, but they demonstrate strategic adaptation beyond the legacy oilfield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PureFlow zinc bromide technology and pursuing the Arkansas Smackover Formation critical mineral development while maintaining a low-margin oilfield services business demonstrates willingness to invest in long-term capability [1][2]. Maintaining R&amp;D investment through cyclical oil and gas downturns shows some commitment. However, CEO Murphy's 10b5-1 stock sales in July 2026 at $10.72/share suggest hedging rather than all-in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TETRA Technologies is evolving from a traditional oilfield services company into a critical minerals and energy transition play. Q1 2026 delivered record revenue of $156M and adjusted EBITDA of $26M — both 10-year highs — with EPS of $0.06 (up 100% YoY) and the 2026 EPS estimate raised to $0.265 [1]. The September 2025 resource upgrade was transformational: Arkansas Smackover Formation Measured and Indicated Bromine Resources surged from 158 ktons to 3.57 million tons, and lithium resources grew 163% to 585 ktons of lithium carbonate equivalent [2]. At $10.72/share with a ~$1.4B market cap, the stock prices in minimal value for the critical mineral resource base. D/E has improved to 63.4% with a low 1.5x leverage ratio, and revenue is forecast to grow 9.9% p.a. over the next 3 years, ahead of the Energy Services industry average of 5.3% [1][5].</w:t>
      </w:r>
    </w:p>
    <w:p>
      <w:pPr>
        <w:spacing w:after="120"/>
      </w:pPr>
      <w:r>
        <w:rPr>
          <w:rFonts w:ascii="Calibri" w:hAnsi="Calibri"/>
          <w:b w:val="0"/>
          <w:color w:val="3A4A28"/>
          <w:sz w:val="20"/>
        </w:rPr>
        <w:t>The bear case centers on TETRA's persistent profitability weakness and execution risk on the critical minerals pivot. Profit margin of 1.35% and ROE of 3.0% are barely above zero despite record revenue — the company generates $630M in TTM revenue but retains almost none of it [5]. Forward P/E of 37.9x at $10.72/share embeds significant earnings growth expectations; the 2026 EPS estimate of $0.265 requires continued execution improvement from a very low base. The critical mineral resource upgrade is geologically significant but commercially unproven — extracting bromine and lithium from Smackover Formation brines at scale requires technology, permitting, and capital that remain uncertain [2]. CEO Brady Murphy's pre-set 10b5-1 stock sales in July 2026 raise questions about insider conviction at current valuation levels [4]. Oil and gas cyclicality means a drilling downturn could compress the core business before mineral revenue scales, and TETRA competes against far larger oilfield services firms that could replicate its niche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Arkansas Smackover Formation critical mineral development — 3.57M ton bromine and 585 kton lithium carbonate equivalent resources represent potential transformative value if commercial extraction is achieved, with government critical minerals incentives potentially accelerating development [2]</w:t>
      </w:r>
    </w:p>
    <w:p>
      <w:pPr>
        <w:spacing w:before="40" w:after="40"/>
        <w:ind w:left="283"/>
      </w:pPr>
      <w:r>
        <w:rPr>
          <w:rFonts w:ascii="Calibri" w:hAnsi="Calibri"/>
          <w:b/>
          <w:color w:val="4A6B25"/>
          <w:sz w:val="20"/>
        </w:rPr>
        <w:t xml:space="preserve">2. </w:t>
      </w:r>
      <w:r>
        <w:rPr>
          <w:rFonts w:ascii="Calibri" w:hAnsi="Calibri"/>
          <w:b w:val="0"/>
          <w:color w:val="3A4A28"/>
          <w:sz w:val="20"/>
        </w:rPr>
        <w:t>Continued EBITDA margin expansion from Q1 2026 record levels, with 2026 EPS estimate raised to $0.265 reflecting improved profitability trajectory and potential for deepwater project acceleration [1]</w:t>
      </w:r>
    </w:p>
    <w:p>
      <w:pPr>
        <w:spacing w:before="40" w:after="40"/>
        <w:ind w:left="283"/>
      </w:pPr>
      <w:r>
        <w:rPr>
          <w:rFonts w:ascii="Calibri" w:hAnsi="Calibri"/>
          <w:b/>
          <w:color w:val="4A6B25"/>
          <w:sz w:val="20"/>
        </w:rPr>
        <w:t xml:space="preserve">3. </w:t>
      </w:r>
      <w:r>
        <w:rPr>
          <w:rFonts w:ascii="Calibri" w:hAnsi="Calibri"/>
          <w:b w:val="0"/>
          <w:color w:val="3A4A28"/>
          <w:sz w:val="20"/>
        </w:rPr>
        <w:t>Water management regulatory tightening in Permian Basin and other U.S. shale regions increasing demand for TETRA's produced water recycling services at higher margins than traditional disposal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and gas drilling downturn from lower commodity prices could compress core oilfield services revenue, which still represents the majority of TETRA's revenue base, before critical mineral or battery technology revenue scales</w:t>
      </w:r>
    </w:p>
    <w:p>
      <w:pPr>
        <w:spacing w:before="40" w:after="40"/>
        <w:ind w:left="283"/>
      </w:pPr>
      <w:r>
        <w:rPr>
          <w:rFonts w:ascii="Calibri" w:hAnsi="Calibri"/>
          <w:b/>
          <w:color w:val="4A6B25"/>
          <w:sz w:val="20"/>
        </w:rPr>
        <w:t xml:space="preserve">2. </w:t>
      </w:r>
      <w:r>
        <w:rPr>
          <w:rFonts w:ascii="Calibri" w:hAnsi="Calibri"/>
          <w:b w:val="0"/>
          <w:color w:val="3A4A28"/>
          <w:sz w:val="20"/>
        </w:rPr>
        <w:t>Critical mineral extraction from Arkansas Smackover Formation brines may face technology, permitting, and capital challenges that delay or prevent commercial-scale production, stranding the resource upgrade's paper value</w:t>
      </w:r>
    </w:p>
    <w:p>
      <w:pPr>
        <w:spacing w:before="40" w:after="40"/>
        <w:ind w:left="283"/>
      </w:pPr>
      <w:r>
        <w:rPr>
          <w:rFonts w:ascii="Calibri" w:hAnsi="Calibri"/>
          <w:b/>
          <w:color w:val="4A6B25"/>
          <w:sz w:val="20"/>
        </w:rPr>
        <w:t xml:space="preserve">3. </w:t>
      </w:r>
      <w:r>
        <w:rPr>
          <w:rFonts w:ascii="Calibri" w:hAnsi="Calibri"/>
          <w:b w:val="0"/>
          <w:color w:val="3A4A28"/>
          <w:sz w:val="20"/>
        </w:rPr>
        <w:t>Profit margin of 1.35% and ROE of 3.0% leave minimal buffer — any revenue softness or cost inflation could push the company back into losses, and CEO stock sales at current prices suggest management may view the valuation as fully reflecting near-term fundamentals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TETRA's core businesses — manufacturing completion fluids, providing water management services, and frac flowback operations — are physical-world, hands-on oilfield services that AI cannot substitute [1]. The business requires chemical manufacturing facilities, field crews, and specialized equipment deployed at remote well sites. The critical mineral resources (bromine and lithium) in the Arkansas Smackover Formation are physical assets AI cannot replicate. However, AI-enabled predictive analytics from larger competitors (Halliburton, SLB) could optimize completion fluid selection and water management decisions, potentially commoditizing TETRA's advisory value-add and squeezing margins. No analysts have flagged AI as a direct substitution risk for the company's core operations. AI Opportunity (0/1): No evidence of AI-generated revenue. TETRA has not disclosed AI products, services, or measurable AI-driven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TETRA Technologies Q1 2026 Earnings Call — Record revenue $156M, adjusted EBITDA $26M (10-year highs), EPS $0.06 (100% YoY growth), 2026 EPS estimate raised to $0.265; GuruFocus /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TETRA Technologies — Arkansas Smackover Formation resource upgrade: Bromine 158 ktons to 3.57M tons, Lithium +163% to 585 ktons LCE; Definitive Feasibility Study per S-K 1300, September 2025</w:t>
      </w:r>
    </w:p>
    <w:p>
      <w:pPr>
        <w:spacing w:before="20" w:after="20"/>
        <w:ind w:left="170"/>
      </w:pPr>
      <w:r>
        <w:rPr>
          <w:rFonts w:ascii="Calibri" w:hAnsi="Calibri"/>
          <w:b/>
          <w:color w:val="4A6B25"/>
          <w:sz w:val="15"/>
        </w:rPr>
        <w:t xml:space="preserve">3. </w:t>
      </w:r>
      <w:r>
        <w:rPr>
          <w:rFonts w:ascii="Calibri" w:hAnsi="Calibri"/>
          <w:b w:val="0"/>
          <w:color w:val="3A4A28"/>
          <w:sz w:val="17"/>
        </w:rPr>
        <w:t>TETRA Technologies Corporate Website (onetetra.com) — Sustainability commitment, green completions, and ESG disclosures,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TETRA Technologies insider transactions — CEO Brady Murphy sold 50,061 shares at ~$10.72/share via 10b5-1 plan, July 1-2, 2026; Simply Wall St management analysis,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Simply Wall St / CNBC — TTI financial metrics: D/E 63.4%, ROE 3.0%, net margin 1.35%, Forward P/E 37.9x, revenue $630M TTM;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