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TTWO</w:t>
      </w:r>
      <w:r>
        <w:rPr>
          <w:rFonts w:ascii="Calibri" w:hAnsi="Calibri"/>
          <w:b/>
          <w:color w:val="1A2010"/>
          <w:sz w:val="40"/>
        </w:rPr>
        <w:t xml:space="preserve">  Take-Two Interactive Software, Inc.</w:t>
      </w:r>
    </w:p>
    <w:p>
      <w:pPr>
        <w:spacing w:after="120"/>
      </w:pPr>
      <w:r>
        <w:rPr>
          <w:rFonts w:ascii="Calibri" w:hAnsi="Calibri"/>
          <w:b/>
          <w:color w:val="6E8450"/>
          <w:sz w:val="18"/>
        </w:rPr>
        <w:t>GROWTH SLEEVE · 2026-07-16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Electronic Gaming &amp; Multimedia · NASDAQ · United States</w:t>
      </w:r>
    </w:p>
    <w:p>
      <w:pPr>
        <w:spacing w:after="80"/>
      </w:pPr>
      <w:r>
        <w:rPr>
          <w:rFonts w:ascii="Calibri" w:hAnsi="Calibri"/>
          <w:b w:val="0"/>
          <w:color w:val="3A4A28"/>
          <w:sz w:val="20"/>
        </w:rPr>
        <w:t>Take-Two Interactive Software, Inc. is a global developer, publisher, and marketer of interactive entertainment products through its wholly-owned labels Rockstar Games, 2K, Private Division, and Zynga. The company's portfolio includes Grand Theft Auto, Red Dead Redemption, NBA 2K, Civilization, and a broad mobile gaming portfolio acquired through the $12.7B Zynga acquisition in 2022. Take-Two creates some of the most culturally impactful entertainment franchises in the world, serving console, PC, and mobile platforms. Headquartered in New York City.</w:t>
      </w:r>
    </w:p>
    <w:p>
      <w:r>
        <w:rPr>
          <w:rFonts w:ascii="Calibri" w:hAnsi="Calibri"/>
          <w:b/>
          <w:color w:val="6E8450"/>
          <w:sz w:val="18"/>
        </w:rPr>
        <w:t>12,910 Employees · https://www.take2games.com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Take-Two has executed multiple transformative moves over the past five years: the $12.7B Zynga acquisition in 2022 fundamentally repositioned the company in mobile gaming, GTA Online's recurrent consumer spending model transformed the industry's monetization approach, and the company is developing GTA VI — the most anticipated game release in history [1]. FY2026 revenue grew 18% YoY to $6.66B, driven by strong performance across franchises [1]. AI Deployment (1/2): Take-Two is exploring AI for game development workflows including procedural content generation, NPC behavior, and QA testing, though no specific AI products or quantified savings have been publicly disclosed [2]. Market Share (2/2): GTA V has sold over 200M+ copies making it one of the best-selling entertainment products of all time. NBA 2K dominates the basketball simulation category with no meaningful competition. Civilization is the category-defining strategy franchise [1]. Pipeline (2/2): GTA VI has a confirmed release window (expected FY2027) and represents the largest revenue opportunity in gaming history — analysts estimate $2B+ in first-year sales. The pipeline also includes ongoing NBA 2K annual releases, Civilization VII, and Zynga mobile titles [1]. R&amp;D Intensity (0/1): Take-Two's development costs are substantial in absolute terms but classified as cost of goods rather than R&amp;D, making intensity comparison difficult. No above-average R&amp;D spending data identified.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Take-Two's stated mission is to be the most innovative, creative, and efficient entertainment company in the world — a specific and thoughtful purpose that reflects genuine intentionality and connects to creativity as a higher calling [2]. CEO Strauss Zelnick has consistently articulated this vision across 15+ years of leadership, making it a validated strategic north star rather than marketing language. Community Impact (1/2): Take-Two published its inaugural ESG report and 2023 Impact Report with a five-pillar ESG framework, including Scope 1 and 2 emissions disclosure and plans for Scope 3 measurement [3]. The company supports diversity and employee development programs, though specific charitable dollar amounts were not identified. Employee Retention (2/2): Zelnick has been CEO since 2011 and Chairman since 2007 — 15+ years of leadership stability is exceptional in the gaming industry [2]. He devotes 25% of his time to mentoring, and the company emphasizes talent retention through benefits, well-being programs, and creative empowerment. This long tenure at the top creates institutional stability that permeates the organization. Insider Buying (1/2): Zelnick holds significant equity through his management role, aligning interests with shareholders. Specific recent net insider buying data was not confirmed beyond compensation-related holdings.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growth-stock metrics. D/E of 84% is slightly above the 70% target, reflecting the Zynga acquisition debt that is being deleveraged [4]. ROE of -10.56% is negative due to ongoing net losses of -$298.2M in FY2026, though losses narrowed 93% from FY2025's -$4.4B (which included Zynga-related impairments) [1]. Revenue growth of 18.16% YoY is strong and above the 10% target [1]. Five-year revenue CAGR of approximately 14.6% reflects organic franchise strength plus Zynga integration. Forward P/E of 33.1 is elevated, reflecting GTA VI anticipation [4]. Profit margin of -4.48% remains negative but is improving rapidly toward breakeven as Zynga amortization headwinds recede [1]. Forward PEG of approximately 1.5 (based on forward PE of 33 and estimated 20%+ EPS growth from GTA VI launch) is above the 1.0 target but below the 3.0 floor. Liquidity floor passes: 2.0M avg daily volume x $243.80 = $487.6M.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Take-Two demonstrates strong infinite-game characteristics anchored by CEO Strauss Zelnick's 15+ year tenure and the company's patient, quality-first approach to game development [2]. The willingness to invest years and billions into GTA VI — delaying release until quality standards are met rather than shipping to meet quarterly targets — is textbook infinite thinking. The $12.7B Zynga acquisition expanded the company's playing field into mobile gaming, demonstrating strategic flexibility. However, the gaming industry's hit-driven nature creates inherent short-term pressure, and the company's current net losses suggest the transition costs of strategic investments are front-loaded.</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Take-Two's mission to be the most innovative, creative, and efficient entertainment company is genuinely distinctive and has been consistently lived out across Zelnick's tenure [2]. The company's strategic decisions — investing multi-billion dollar sums over multi-year timelines to create culturally defining entertainment — demonstrate that creativity and quality are not just marketing language but the actual strategic north star. The cause transcends any single product: even if GTA VI underperforms, the mission of creative excellence endures.</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Zelnick's 25% time allocation to mentoring reflects genuine investment in people development [2]. The company empowers creative teams across Rockstar, 2K, and Zynga with significant autonomy to pursue their creative visions. The emphasis on talent retention through benefits, development programs, and creative empowerment creates an environment where people stay for the mission. However, the gaming industry broadly struggles with 'crunch culture' (extended work hours near release dates), and Take-Two's labels have faced some scrutiny on this front, partially offsetting the trust narrative.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Electronic Arts (sports gaming), Activision Blizzard (now Microsoft/Xbox), and Sony Interactive serve as worthy rivals that push Take-Two to innovate across every dimension [1]. EA's annual sports franchises push 2K to improve NBA 2K; Microsoft's Game Pass forces Take-Two to compete on value; Sony's first-party quality sets the bar for narrative-driven games. Take-Two studies these rivals' strengths rather than dismissing them, and the competitive dynamics have driven industry-wide quality improvements.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$12.7B Zynga acquisition fundamentally expanded Take-Two's identity from a premium console/PC publisher to a cross-platform entertainment company with massive mobile gaming reach [1]. This represented a genuine strategic evolution — mobile gaming was previously outside Take-Two's core competency. The embrace of recurrent consumer spending (GTA Online, NBA 2K Virtual Currency) transformed the company's revenue model from hit-driven to hybrid recurring. The company has also shown flexibility in delaying releases when quality isn't met, prioritizing long-term franchise health.</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The $12.7B Zynga acquisition was the largest deal in gaming history at the time and fundamentally reshaped Take-Two's strategic profile — a bold, conviction-driven bet that required accepting massive near-term dilution and integration risk [1]. The multi-year, multi-billion dollar investment in GTA VI — with Zelnick publicly stating the company will not rush the release — demonstrates willingness to sacrifice multiple quarters of short-term results for generational long-term value creation [2]. Zelnick's 15+ year commitment to a creative-first strategy, even through periods of market pressure, shows sustained courageous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Take-Two Interactive sits at the precipice of its most significant product cycle in history with GTA VI expected to launch in FY2027, potentially generating $2B+ in first-year net bookings and catalyzing a multi-year earnings inflection [1]. FY2026 revenue of $6.66B (up 18% YoY) demonstrates the strength of the existing franchise portfolio even pre-GTA VI, with net losses narrowing 93% from -$4.4B to -$298M as Zynga acquisition amortization headwinds subside [1]. CEO Strauss Zelnick's 15+ year tenure provides leadership stability, and his commitment to quality over speed — refusing to rush GTA VI — is the right long-term strategy for protecting the franchise that generates more revenue than most entertainment companies [2]. At 33x forward earnings, the stock prices in significant GTA VI upside, but the franchise's track record (GTA V: 200M+ copies sold, $8B+ in lifetime revenue) justifies premium valuation for a once-in-a-generation entertainment event.</w:t>
      </w:r>
    </w:p>
    <w:p>
      <w:pPr>
        <w:spacing w:after="120"/>
      </w:pPr>
      <w:r>
        <w:rPr>
          <w:rFonts w:ascii="Calibri" w:hAnsi="Calibri"/>
          <w:b w:val="0"/>
          <w:color w:val="3A4A28"/>
          <w:sz w:val="20"/>
        </w:rPr>
        <w:t>The bear case centers on execution risk and current unprofitability. At $243.80 and 33x forward earnings, the stock is priced for GTA VI perfection — any delay, critical reception disappointment, or launch execution issues could trigger a severe de-rating [4]. Take-Two remains GAAP unprofitable with -$298M in net losses and -10.56% ROE, and while losses are narrowing, the company has not yet demonstrated sustained profitability in the post-Zynga era [1]. D/E of 84% reflects acquisition debt that still needs deleveraging. The hit-driven nature of gaming means revenue is lumpy and concentrated — GTA VI will dominate the narrative, but a miss on this title would be catastrophic given the valuation premium. Mobile gaming revenue from Zynga faces competitive pressure from hypercasual games and regulatory scrutiny on in-app purchases. The negative Inspire Insight score (-62) due to sexually explicit content in GTA and other franchises may limit the investor base among faith-aligned capital allocators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GTA VI launch (expected FY2027) represents the largest entertainment event in gaming history — GTA V generated $8B+ in lifetime revenue, and GTA VI's expanded scope and 10+ year development cycle positions it to exceed this benchmark</w:t>
      </w:r>
    </w:p>
    <w:p>
      <w:pPr>
        <w:spacing w:before="40" w:after="40"/>
        <w:ind w:left="283"/>
      </w:pPr>
      <w:r>
        <w:rPr>
          <w:rFonts w:ascii="Calibri" w:hAnsi="Calibri"/>
          <w:b/>
          <w:color w:val="4A6B25"/>
          <w:sz w:val="20"/>
        </w:rPr>
        <w:t xml:space="preserve">2. </w:t>
      </w:r>
      <w:r>
        <w:rPr>
          <w:rFonts w:ascii="Calibri" w:hAnsi="Calibri"/>
          <w:b w:val="0"/>
          <w:color w:val="3A4A28"/>
          <w:sz w:val="20"/>
        </w:rPr>
        <w:t>Path to GAAP profitability as Zynga acquisition amortization headwinds fade and operating leverage improves — FY2027 should mark the first full year of GAAP profitability driven by GTA VI revenue inflection</w:t>
      </w:r>
    </w:p>
    <w:p>
      <w:pPr>
        <w:spacing w:before="40" w:after="40"/>
        <w:ind w:left="283"/>
      </w:pPr>
      <w:r>
        <w:rPr>
          <w:rFonts w:ascii="Calibri" w:hAnsi="Calibri"/>
          <w:b/>
          <w:color w:val="4A6B25"/>
          <w:sz w:val="20"/>
        </w:rPr>
        <w:t xml:space="preserve">3. </w:t>
      </w:r>
      <w:r>
        <w:rPr>
          <w:rFonts w:ascii="Calibri" w:hAnsi="Calibri"/>
          <w:b w:val="0"/>
          <w:color w:val="3A4A28"/>
          <w:sz w:val="20"/>
        </w:rPr>
        <w:t>Recurrent consumer spending continues to grow across GTA Online, NBA 2K, and Zynga mobile titles, providing a predictable revenue base that reduces hit-dependency and supports sustained margin expansion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GTA VI execution risk — any significant delay, critical reception below expectations, or launch technical issues would severely impact the stock given the premium valuation pricing in a flawless launch</w:t>
      </w:r>
    </w:p>
    <w:p>
      <w:pPr>
        <w:spacing w:before="40" w:after="40"/>
        <w:ind w:left="283"/>
      </w:pPr>
      <w:r>
        <w:rPr>
          <w:rFonts w:ascii="Calibri" w:hAnsi="Calibri"/>
          <w:b/>
          <w:color w:val="4A6B25"/>
          <w:sz w:val="20"/>
        </w:rPr>
        <w:t xml:space="preserve">2. </w:t>
      </w:r>
      <w:r>
        <w:rPr>
          <w:rFonts w:ascii="Calibri" w:hAnsi="Calibri"/>
          <w:b w:val="0"/>
          <w:color w:val="3A4A28"/>
          <w:sz w:val="20"/>
        </w:rPr>
        <w:t>Sustained GAAP unprofitability with -$298M net loss and -10.56% ROE limits the investor base and creates vulnerability to market sentiment shifts; profitability depends on GTA VI converting development investment to returns</w:t>
      </w:r>
    </w:p>
    <w:p>
      <w:pPr>
        <w:spacing w:before="40" w:after="40"/>
        <w:ind w:left="283"/>
      </w:pPr>
      <w:r>
        <w:rPr>
          <w:rFonts w:ascii="Calibri" w:hAnsi="Calibri"/>
          <w:b/>
          <w:color w:val="4A6B25"/>
          <w:sz w:val="20"/>
        </w:rPr>
        <w:t xml:space="preserve">3. </w:t>
      </w:r>
      <w:r>
        <w:rPr>
          <w:rFonts w:ascii="Calibri" w:hAnsi="Calibri"/>
          <w:b w:val="0"/>
          <w:color w:val="3A4A28"/>
          <w:sz w:val="20"/>
        </w:rPr>
        <w:t>Regulatory risk to in-game monetization (loot boxes, virtual currency) across console and mobile platforms, with increasing global scrutiny on gaming industry practices that could constrain recurrent consumer spending growth</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Take-Two's competitive advantage is rooted in world-class creative talent, iconic IP (GTA, Red Dead, NBA 2K), and cultural relevance — attributes that AI cannot replicate [1]. GTA is not merely a game but a cultural phenomenon built over decades of artistic vision, narrative design, and brand equity that no AI system can substitute. The company's moat is creative, not technical — consumers buy Take-Two games for the human artistry, storytelling, and cultural cachet. AI-generated games could democratize basic game development, but AAA titles with Take-Two's production values, cultural impact, and marketing budgets represent a category that AI enhancement strengthens rather than threatens [2]. Moderate risk exists in AI potentially accelerating competitor development cycles or reducing the cost advantage of large studios. AI Opportunity (1/1): AI presents significant efficiency opportunities in game development — procedural world generation, NPC behavior, automated QA testing, and content localization could reduce development costs and timelines for Take-Two's massive AAA projects, improving margins on future releases.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-62</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Take-Two Interactive FY2026 Full Year and Quarterly Earnings Results — SEC 8-K Filings, MacroTrends, WallStreetZen, Simply Wall St, 2025-2026</w:t>
      </w:r>
    </w:p>
    <w:p>
      <w:pPr>
        <w:spacing w:before="20" w:after="20"/>
        <w:ind w:left="170"/>
      </w:pPr>
      <w:r>
        <w:rPr>
          <w:rFonts w:ascii="Calibri" w:hAnsi="Calibri"/>
          <w:b/>
          <w:color w:val="4A6B25"/>
          <w:sz w:val="15"/>
        </w:rPr>
        <w:t xml:space="preserve">2. </w:t>
      </w:r>
      <w:r>
        <w:rPr>
          <w:rFonts w:ascii="Calibri" w:hAnsi="Calibri"/>
          <w:b w:val="0"/>
          <w:color w:val="3A4A28"/>
          <w:sz w:val="17"/>
        </w:rPr>
        <w:t>Take-Two Interactive CEO Strauss Zelnick Leadership, Culture, Mentoring, and Strategy — CNBC, Clay, Take2Games.com, 2025-2026</w:t>
      </w:r>
    </w:p>
    <w:p>
      <w:pPr>
        <w:spacing w:before="20" w:after="20"/>
        <w:ind w:left="170"/>
      </w:pPr>
      <w:r>
        <w:rPr>
          <w:rFonts w:ascii="Calibri" w:hAnsi="Calibri"/>
          <w:b/>
          <w:color w:val="4A6B25"/>
          <w:sz w:val="15"/>
        </w:rPr>
        <w:t xml:space="preserve">3. </w:t>
      </w:r>
      <w:r>
        <w:rPr>
          <w:rFonts w:ascii="Calibri" w:hAnsi="Calibri"/>
          <w:b w:val="0"/>
          <w:color w:val="3A4A28"/>
          <w:sz w:val="17"/>
        </w:rPr>
        <w:t>Take-Two Interactive ESG and Impact Report, Corporate Governance — Yahoo Finance, CSRHub, Company 2023 Impact Report,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Take-Two Interactive (TTWO) Financial Statistics and Valuation — StockAnalysis.com, GuruFocus, Yahoo Finance, FinanceCharts,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