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TXNM</w:t>
      </w:r>
      <w:r>
        <w:rPr>
          <w:rFonts w:ascii="Calibri" w:hAnsi="Calibri"/>
          <w:b/>
          <w:color w:val="1A2010"/>
          <w:sz w:val="40"/>
        </w:rPr>
        <w:t xml:space="preserve">  TXNM Energy, Inc.</w:t>
      </w:r>
    </w:p>
    <w:p>
      <w:pPr>
        <w:spacing w:after="120"/>
      </w:pPr>
      <w:r>
        <w:rPr>
          <w:rFonts w:ascii="Calibri" w:hAnsi="Calibri"/>
          <w:b/>
          <w:color w:val="6E8450"/>
          <w:sz w:val="18"/>
        </w:rPr>
        <w:t>DIVIDEND SLEEVE · 2026-08-06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TXNM Energy, Inc. (formerly PNM Resources, Inc., renamed August 2024) is an energy holding company based in Albuquerque, N.M. Through its regulated utilities PNM (New Mexico) and TNMP (Texas), TXNM provides electricity to more than 800,000 homes and businesses. PNM was the first U.S. investor-owned utility to commit to 100% carbon-free generation by 2040. FERC has authorized TXNM's acquisition by Blackstone Infrastructure. Market cap $6.44B.</w:t>
      </w:r>
    </w:p>
    <w:p>
      <w:r>
        <w:rPr>
          <w:rFonts w:ascii="Calibri" w:hAnsi="Calibri"/>
          <w:b/>
          <w:color w:val="6E8450"/>
          <w:sz w:val="18"/>
        </w:rPr>
        <w:t>2,000 Employees · https://www.txnmenergy.com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TXNM has executed a multi-year clean energy transition, retiring coal-fired plants and expanding renewable generation capacity as part of its 2040 carbon-free commitment — meaningful strategic progress for a regulated utility but incremental rather than transformational [1][3]. Revenue grew 9.9% in FY2025. AI Deployment (0/2): No evidence of AI-powered products, services, or quantified AI-driven operational efficiencies. Market Share (1/2): Regulated monopoly serving 800,000+ customers across New Mexico (PNM) and Texas (TNMP), providing stable but regulation-protected market position rather than competitively earned share [3]. Product Pipeline (0/2): No specific next-generation products or services with launch dates and revenue visibility; clean energy transition is a multi-decade regulatory compliance effort. R&amp;D Intensity (0/1): Regulated utilities spend minimal on R&amp;D as a percentage of revenue; no evidence of above-industry-average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TXNM's purpose is distinctively articulated through PNM's commitment as the first U.S. investor-owned utility to set a goal of 100% carbon-free generation by 2040 — a specific, bold commitment that reflects genuine intentionality about the company's role in energy transition and differentiates from peers [3]. This has shaped real strategic decisions including coal plant retirements and renewable investments. Community Impact (1/2): PNM launched an environmental justice review process in 2022 to assess impacts on disadvantaged communities, and the company's clean energy transition serves community health through emission reductions [4]. No specific charitable foundation or dollar amounts for community investment identified. Employee Retention (0/2): No publicly available data on employee tenure, voluntary turnover, or specific culture indicators. Insider Buying (0/2): No evidence of meaningful net insider buying; the pending Blackstone acquisition likely restricts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D/E of 164% is elevated but standard for capital-intensive regulated utilities, scoring 0.59 [5]. Forward P/E of 19.55 is just below the 20 target, scoring effectively 1.0. Revenue growth of 9.5% YoY and 5yr CAGR of ~8% both near target. ROE of 5.40% and profit margin of 6.68% are below targets, reflecting regulated utility return structures [5]. Payout ratio of ~110% exceeds the 100% floor and scores 0, reflecting the utility practice of funding dividends partly from cash flow rather than net income. Strong dividend history with ~20 consecutive years paid and ~5 consecutive years of growth from $1.38 to $1.69 annually (~4% CAGR) partially offset weak profitability ratios. Liquidity check: ~700,000 avg daily volume × $58.16 = ~$40.7M,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TXNM demonstrates mixed infinite game characteristics. The bold commitment to 100% carbon-free generation by 2040 — the first such pledge by a U.S. investor-owned utility — reflects genuine Just Cause thinking. However, the pending Blackstone acquisition introduces uncertainty about long-term purpose continuity, and the regulatory violation finding in the acquisition process raises governance concerns that contrast with infinite game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PNM's commitment as the first U.S. investor-owned utility to target 100% carbon-free energy by 2040 is a genuine, distinctive purpose that has shaped real strategic decisions — coal plant retirements, renewable infrastructure investment, and environmental justice review processes [3][4]. This goes beyond regulatory compliance and reflects intentionality about the company's role in the energy transition. However, the commitment has not yet been fully validated over decades, and the pending Blackstone acquisition creates uncertainty about whether this purpose will survive a change in ownership.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Patricia Collawn served as CEO from 2012 to 2025 (13 years), providing leadership stability and continuity that is above average for the utility industry [2]. Her transition to Executive Chairman suggests planned succession. However, no specific evidence of exceptional employee culture, retention metrics, or empowerment practices distinguishes TXNM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utility, TXNM operates without direct competitors in its service territories. No evidence of management acknowledging peer utilities' strengths or framing industry competition as motivation for self-improvement. Competitive dynamics are limited to regulatory strategy and rate proceedings rather than market-based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TXNM is executing a meaningful shift from fossil fuel generation toward 100% clean energy, including early coal plant retirements and significant renewable investment [3]. This represents genuine strategic evolution for a utility. However, this transition is driven by industry-wide economics (declining renewable costs) and regulatory requirements as much as by organizational choice, and the company has not fundamentally reinvented its business model — it remains a regulated electricity provider.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Setting the earliest carbon-free target among U.S. investor-owned utilities required committing to early coal retirements and significant capital investment in renewables before regulators mandated it [3]. This involved real near-term cost to rate base and earnings. However, the finding that Blackstone and TXNM 'intentionally and knowingly violated' New Mexico securities law (NMSA 62-6-12) during the $400M stock transaction raises serious governance concerns that undermine the courage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TXNM Energy offers a compelling regulated utility profile with 9.2% Q2 2026 revenue growth, Q2 GAAP EPS of $0.64 (up 191% from $0.22), and a 2.91% dividend yield at 19.55x forward earnings [1][5]. The company's pioneering 100% carbon-free commitment by 2040 positions it favorably as ESG-conscious institutional capital flows toward clean energy utilities. The pending Blackstone Infrastructure acquisition, authorized by FERC, provides a potential near-term catalyst for shareholders if approved by remaining state regulators. TXNM's service territories in New Mexico and Texas benefit from population growth and increasing electricity demand driven by data center and AI compute expansion.</w:t>
      </w:r>
    </w:p>
    <w:p>
      <w:pPr>
        <w:spacing w:after="120"/>
      </w:pPr>
      <w:r>
        <w:rPr>
          <w:rFonts w:ascii="Calibri" w:hAnsi="Calibri"/>
          <w:b w:val="0"/>
          <w:color w:val="3A4A28"/>
          <w:sz w:val="20"/>
        </w:rPr>
        <w:t>The bear case centers on acquisition uncertainty and financial strain. The Blackstone acquisition process has been marred by a New Mexico Public Regulation Commission finding that both parties 'intentionally and knowingly violated' state securities law, creating regulatory risk to deal completion [4]. TXNM carries $5.77B in debt against only $5.6M in cash, generating negative free cash flow of -$569.6M due to $1.17B annual CapEx, raising leverage concerns if the acquisition fails and capital needs persist [5]. The payout ratio above 100% signals the current dividend may not be fully supported by earnings, and the 42.86x trailing P/E reflects depressed recent earnings rather than true earning power. If the Blackstone deal collapses, TXNM faces the challenge of funding its clean energy transition independently with already-stretched balance sheet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Blackstone Infrastructure acquisition completion would provide TXNM shareholders with acquisition premium and potential delisting, crystallizing value for current holders</w:t>
      </w:r>
    </w:p>
    <w:p>
      <w:pPr>
        <w:spacing w:before="40" w:after="40"/>
        <w:ind w:left="283"/>
      </w:pPr>
      <w:r>
        <w:rPr>
          <w:rFonts w:ascii="Calibri" w:hAnsi="Calibri"/>
          <w:b/>
          <w:color w:val="4A6B25"/>
          <w:sz w:val="20"/>
        </w:rPr>
        <w:t xml:space="preserve">2. </w:t>
      </w:r>
      <w:r>
        <w:rPr>
          <w:rFonts w:ascii="Calibri" w:hAnsi="Calibri"/>
          <w:b w:val="0"/>
          <w:color w:val="3A4A28"/>
          <w:sz w:val="20"/>
        </w:rPr>
        <w:t>Q2 2026 GAAP EPS surge of 191% to $0.64 signals rate recovery and retail load growth at both PNM and TNMP, with continued rate case outcomes expected to normalize earnings</w:t>
      </w:r>
    </w:p>
    <w:p>
      <w:pPr>
        <w:spacing w:before="40" w:after="40"/>
        <w:ind w:left="283"/>
      </w:pPr>
      <w:r>
        <w:rPr>
          <w:rFonts w:ascii="Calibri" w:hAnsi="Calibri"/>
          <w:b/>
          <w:color w:val="4A6B25"/>
          <w:sz w:val="20"/>
        </w:rPr>
        <w:t xml:space="preserve">3. </w:t>
      </w:r>
      <w:r>
        <w:rPr>
          <w:rFonts w:ascii="Calibri" w:hAnsi="Calibri"/>
          <w:b w:val="0"/>
          <w:color w:val="3A4A28"/>
          <w:sz w:val="20"/>
        </w:rPr>
        <w:t>Increasing electricity demand from data centers and AI compute growth in TXNM's New Mexico and Texas service territories could accelerate load growth and rate base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New Mexico PRC finding that Blackstone and TXNM violated state securities law could delay or block the acquisition, leaving TXNM to fund its $1.17B annual CapEx program with already-strained balance sheet metrics</w:t>
      </w:r>
    </w:p>
    <w:p>
      <w:pPr>
        <w:spacing w:before="40" w:after="40"/>
        <w:ind w:left="283"/>
      </w:pPr>
      <w:r>
        <w:rPr>
          <w:rFonts w:ascii="Calibri" w:hAnsi="Calibri"/>
          <w:b/>
          <w:color w:val="4A6B25"/>
          <w:sz w:val="20"/>
        </w:rPr>
        <w:t xml:space="preserve">2. </w:t>
      </w:r>
      <w:r>
        <w:rPr>
          <w:rFonts w:ascii="Calibri" w:hAnsi="Calibri"/>
          <w:b w:val="0"/>
          <w:color w:val="3A4A28"/>
          <w:sz w:val="20"/>
        </w:rPr>
        <w:t>Debt-to-equity of 164% and negative free cash flow of -$569.6M reflect heavy capital investment that could pressure the 2.91% dividend if rate recovery falls short of expectations</w:t>
      </w:r>
    </w:p>
    <w:p>
      <w:pPr>
        <w:spacing w:before="40" w:after="40"/>
        <w:ind w:left="283"/>
      </w:pPr>
      <w:r>
        <w:rPr>
          <w:rFonts w:ascii="Calibri" w:hAnsi="Calibri"/>
          <w:b/>
          <w:color w:val="4A6B25"/>
          <w:sz w:val="20"/>
        </w:rPr>
        <w:t xml:space="preserve">3. </w:t>
      </w:r>
      <w:r>
        <w:rPr>
          <w:rFonts w:ascii="Calibri" w:hAnsi="Calibri"/>
          <w:b w:val="0"/>
          <w:color w:val="3A4A28"/>
          <w:sz w:val="20"/>
        </w:rPr>
        <w:t>Trailing P/E of 42.86x and payout ratio above 100% suggest current earnings are below normalized levels, creating vulnerability if the clean energy transition encounters cost overruns or regulatory delays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TXNM operates physical electricity generation, transmission, and distribution infrastructure serving 800,000+ customers across New Mexico and Texas — AI cannot substitute for power plants, transmission lines, or the regulated franchise to deliver electricity [3]. The business requires massive physical capital investment ($1.17B annual CapEx), regulatory licensing by state public utility commissions, and management of physical grid infrastructure that is structurally immune to AI disruption. AI is a direct demand driver for TXNM: data centers require enormous electricity consumption, and AI compute growth will increase demand for reliable grid power in TXNM's service territories [1]. AI Opportunity (0/1): No AI-derived revenue. TXNM does not generate revenue from AI products or services; the company benefits from AI growth only as a passive demand tailwind.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TXNM Energy Q2 2026 Results — PR Newswire, TradingKey,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TXNM Energy Leadership — txnmenergy.com, LinkedIn profiles,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TXNM Energy About Us and Clean Energy Commitment — txnmenergy.com,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TXNM Energy ESG and Environmental Justice — CSRHub, txnmenergy.com sustainability report,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TXNM Energy (TXNM) Statistics &amp; Valuation — StockAnalysis, Yahoo Finance,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TXNM Energy Revenue History — WallStreetZen,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