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UBS</w:t>
      </w:r>
      <w:r>
        <w:rPr>
          <w:rFonts w:ascii="Calibri" w:hAnsi="Calibri"/>
          <w:b/>
          <w:color w:val="1A2010"/>
          <w:sz w:val="40"/>
        </w:rPr>
        <w:t xml:space="preserve">  UBS Group AG</w:t>
      </w:r>
    </w:p>
    <w:p>
      <w:pPr>
        <w:spacing w:after="120"/>
      </w:pPr>
      <w:r>
        <w:rPr>
          <w:rFonts w:ascii="Calibri" w:hAnsi="Calibri"/>
          <w:b/>
          <w:color w:val="6E8450"/>
          <w:sz w:val="18"/>
        </w:rPr>
        <w:t>GROWTH SLEEVE · 2026-07-13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Capital Markets · NYSE · Switzerland</w:t>
      </w:r>
    </w:p>
    <w:p>
      <w:pPr>
        <w:spacing w:after="80"/>
      </w:pPr>
      <w:r>
        <w:rPr>
          <w:rFonts w:ascii="Calibri" w:hAnsi="Calibri"/>
          <w:b w:val="0"/>
          <w:color w:val="3A4A28"/>
          <w:sz w:val="20"/>
        </w:rPr>
        <w:t>UBS Group AG is a global financial services firm headquartered in Zurich, Switzerland. It is the world's largest wealth manager with over $6 trillion in invested assets, operating across four divisions: Global Wealth Management, Personal &amp; Corporate Banking, Asset Management, and the Investment Bank. Following the 2023 acquisition of Credit Suisse, UBS became the dominant Swiss universal bank with approximately 115,000 employees across 50+ countries.</w:t>
      </w:r>
    </w:p>
    <w:p>
      <w:r>
        <w:rPr>
          <w:rFonts w:ascii="Calibri" w:hAnsi="Calibri"/>
          <w:b/>
          <w:color w:val="6E8450"/>
          <w:sz w:val="18"/>
        </w:rPr>
        <w:t>115,000 Employees · https://www.ubs.com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The Credit Suisse acquisition in 2023 represents the largest banking merger in history, fundamentally transforming UBS's scale and competitive position, but this is an acquisition-driven transformation rather than a product or business model innovation [1][2]. AI Deployment (1/2): UBS appointed Daniele Magazzeni as Chief AI Officer effective January 2026 and has deployed AI programs to unlock efficiency across front and back offices, but no specific AI revenue figures or quantified cost savings were disclosed [3]. Market Share (2/2): UBS is the undisputed #1 global wealth manager with $6T+ in invested assets and the dominant universal bank in Switzerland, with $37.4B in net new assets in Q1 2026 alone [1][2]. Product Pipeline (1/2): Digital banking initiatives and AI-powered advisory tools are in development, but no specific next-generation products with launch dates or revenue visibility were identified [3]. R&amp;D Intensity (0/1): Banks do not report traditional R&amp;D metrics; UBS's technology spending, while substantial in absolute terms, is not demonstrably above industry average for a global systemically important bank.</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UBS's purpose — 'Reimagining the power of investing. Connecting people for a better world' — is clear and connects investment management to broader societal impact, but remains somewhat generic for a financial institution and interchangeable with wealth management peers [3]. Community Impact (1/2): UBS operates the Optimus Foundation, one of the world's largest philanthropic organizations housed within a bank, and has significant community investment programs, though specific current-period dollar amounts were not identified in reporting [4]. Employee Retention (1/2): Employee surveys show 'consistently strong positive feedback on people integration, strong team culture, and inclusive and collaborative work environment' post-Credit Suisse merger, which is notable given the typical cultural friction in large bank integrations [3]. Insider Buying (0/2): No evidence of meaningful net insider buying by CEO Sergio Ermotti or other executives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Q1 2026 delivered record results with total revenues of CHF 13.6B (up 18% YoY), net profit of $3B (up 80%), and underlying PBT of $4B (up 54%) driven by broad strength across all divisions [1][2]. Global Markets revenues surged 31% to $3.25B on strong equity capital markets activity. Annual revenue of $51.3B and $9.1B profit produce a 17.8% net margin. Forward P/E of 14.02 provides a margin of safety below the 20x target. ROE of 10.16% is below the 15% target but improving as Credit Suisse integration capital is released. The D/E of 623% reflects standard banking leverage where customer deposits are liabilities by accounting convention and scores 0 mechanically, though this is structural for all banks rather than a balance sheet weakness [1][5].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UBS under Sergio Ermotti demonstrates mixed infinite-game characteristics. The bank has a consistent wealth management identity spanning decades and the courage to absorb Credit Suisse during a crisis. However, its competitive language remains focused on market position rather than a transcendent purpose, and the pre-Ermotti history of financial scandals and regulatory penalties reveals an institution that has sometimes prioritized short-term gains over enduring values. The post-merger culture integration appears genuine and positive, suggesting an improving trajectory.</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UBS's purpose of 'reimagining the power of investing, connecting people for a better world' reads as well-crafted marketing rather than a deeply lived Just Cause in Sinek's terms [3]. While the wealth management identity has been consistent, the company's strategic decisions over the past two decades — tax evasion settlements, LIBOR manipulation penalties, and the Credit Suisse rescue — were driven by regulatory pressure and opportunity more than an animating purpose. The purpose does not clearly shape difficult strategic decisions.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Post-Credit Suisse merger, employee surveys show 'consistently strong positive feedback on people integration, strong team culture, and inclusive and collaborative work environment,' which is remarkable given the scale and complexity of integrating two global banks [3]. Ermotti has championed culture and values as a leadership priority. However, the banking industry's bonus-driven culture and competitive internal dynamics create inherent tension with full psychological safety, and the integration process created uncertainty for thousands of former Credit Suisse employees.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UBS competes with an improvement orientation rather than a destruction mindset. Management commentary focuses on building the best wealth management platform globally rather than defeating specific competitors like Morgan Stanley or JPMorgan [1][2]. The decision to rescue Credit Suisse — turning a failed rival into a growth platform rather than celebrating its demise — reflects a constructive competitive approach.</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UBS has undergone significant strategic reinvention over the past 15 years, pivoting from a major investment banking franchise to a wealth management-led model after the financial crisis forced a strategic rethink [1]. The Credit Suisse acquisition represents further evolution, doubling down on the wealth management identity. These were meaningful pivots driven by market necessity and opportunity, though neither was a voluntary abandonment of a profitable business in service of a higher cause.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Ermotti demonstrated genuine courage in leading the Credit Suisse acquisition under emergency conditions in 2023, taking on massive integration risk and potential capital strain to create the world's dominant wealth management platform [1][2]. The bank's commitment to mid-teens dividend growth and progressive capital returns while simultaneously investing in AI and integration shows willingness to balance long-term and short-term priorities. However, the integration is also expected to generate $13B in cost savings, meaning the strategic risk is well-compensated financially.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UBS is executing one of the most complex bank integrations in history and delivering strong results: Q1 2026 produced $3B net profit (up 80% YoY), $13.6B revenue (up 18%), and $37.4B in net new wealth management assets [1][2]. The Forward P/E of 14.02 is reasonable for the world's largest wealth manager, and the bank is returning capital through mid-teens dividend growth and share buybacks. The Credit Suisse integration is nearing completion with $13B in targeted cost synergies creating a clear path to higher ROE. The stock has appreciated 49.5% over the past 52 weeks but still trades at a discount to US wealth management peers [5].</w:t>
      </w:r>
    </w:p>
    <w:p>
      <w:pPr>
        <w:spacing w:after="120"/>
      </w:pPr>
      <w:r>
        <w:rPr>
          <w:rFonts w:ascii="Calibri" w:hAnsi="Calibri"/>
          <w:b w:val="0"/>
          <w:color w:val="3A4A28"/>
          <w:sz w:val="20"/>
        </w:rPr>
        <w:t>The bear case centers on execution risk and structural headwinds. ROE of 10.16% remains below the 15% cost of equity for a globally systemically important bank, and the massive banking leverage (D/E of 623%) amplifies any downturn in credit markets or wealth management AUM [1]. Swiss regulatory demands for higher capital buffers post-Credit Suisse could constrain capital returns. Revenue is heavily dependent on market levels — a sustained equity bear market would compress wealth management fees and Investment Bank revenues simultaneously. Geographic concentration in Europe exposes UBS to slower economic growth versus US-centric peers, and ongoing litigation risks from the Credit Suisse legacy portfolio remain unquantified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Credit Suisse integration nearing completion with $13B in targeted cost synergies, creating a clear path to ROE improvement above 15% by 2027-2028</w:t>
      </w:r>
    </w:p>
    <w:p>
      <w:pPr>
        <w:spacing w:before="40" w:after="40"/>
        <w:ind w:left="283"/>
      </w:pPr>
      <w:r>
        <w:rPr>
          <w:rFonts w:ascii="Calibri" w:hAnsi="Calibri"/>
          <w:b/>
          <w:color w:val="4A6B25"/>
          <w:sz w:val="20"/>
        </w:rPr>
        <w:t xml:space="preserve">2. </w:t>
      </w:r>
      <w:r>
        <w:rPr>
          <w:rFonts w:ascii="Calibri" w:hAnsi="Calibri"/>
          <w:b w:val="0"/>
          <w:color w:val="3A4A28"/>
          <w:sz w:val="20"/>
        </w:rPr>
        <w:t>Net new wealth management assets of $37.4B in Q1 2026 (3.1% annualized growth) demonstrating that the world's largest wealth platform continues to attract capital flows</w:t>
      </w:r>
    </w:p>
    <w:p>
      <w:pPr>
        <w:spacing w:before="40" w:after="40"/>
        <w:ind w:left="283"/>
      </w:pPr>
      <w:r>
        <w:rPr>
          <w:rFonts w:ascii="Calibri" w:hAnsi="Calibri"/>
          <w:b/>
          <w:color w:val="4A6B25"/>
          <w:sz w:val="20"/>
        </w:rPr>
        <w:t xml:space="preserve">3. </w:t>
      </w:r>
      <w:r>
        <w:rPr>
          <w:rFonts w:ascii="Calibri" w:hAnsi="Calibri"/>
          <w:b w:val="0"/>
          <w:color w:val="3A4A28"/>
          <w:sz w:val="20"/>
        </w:rPr>
        <w:t>Mid-teens percent dividend growth commitment for 2026 combined with share buyback program, providing a compelling total capital return story as integration capital is released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ROE of 10.16% remains below cost of equity despite record profits, reflecting the massive capital base required for a G-SIB — any delay in synergy realization would extend this underperformance</w:t>
      </w:r>
    </w:p>
    <w:p>
      <w:pPr>
        <w:spacing w:before="40" w:after="40"/>
        <w:ind w:left="283"/>
      </w:pPr>
      <w:r>
        <w:rPr>
          <w:rFonts w:ascii="Calibri" w:hAnsi="Calibri"/>
          <w:b/>
          <w:color w:val="4A6B25"/>
          <w:sz w:val="20"/>
        </w:rPr>
        <w:t xml:space="preserve">2. </w:t>
      </w:r>
      <w:r>
        <w:rPr>
          <w:rFonts w:ascii="Calibri" w:hAnsi="Calibri"/>
          <w:b w:val="0"/>
          <w:color w:val="3A4A28"/>
          <w:sz w:val="20"/>
        </w:rPr>
        <w:t>Banking leverage of 623% D/E amplifies downside exposure to credit deterioration, wealth management AUM declines, or a sustained equity bear market that compresses fee income across all divisions</w:t>
      </w:r>
    </w:p>
    <w:p>
      <w:pPr>
        <w:spacing w:before="40" w:after="40"/>
        <w:ind w:left="283"/>
      </w:pPr>
      <w:r>
        <w:rPr>
          <w:rFonts w:ascii="Calibri" w:hAnsi="Calibri"/>
          <w:b/>
          <w:color w:val="4A6B25"/>
          <w:sz w:val="20"/>
        </w:rPr>
        <w:t xml:space="preserve">3. </w:t>
      </w:r>
      <w:r>
        <w:rPr>
          <w:rFonts w:ascii="Calibri" w:hAnsi="Calibri"/>
          <w:b w:val="0"/>
          <w:color w:val="3A4A28"/>
          <w:sz w:val="20"/>
        </w:rPr>
        <w:t>Swiss regulatory demands for higher capital buffers post-Credit Suisse rescue could structurally constrain capital returns and reduce ROE versus US bank peers like Morgan Stanley and Goldman Sachs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UBS's core wealth management and banking businesses are protected by deep regulatory moats (banking licenses, capital requirements, AML/KYC compliance), high switching costs for high-net-worth clients, and the fundamental human trust required in managing $6T+ of personal wealth [1][3]. Physical branch infrastructure, compliance complexity, and cross-border regulatory requirements create barriers AI tools cannot bypass. However, AI-powered robo-advisors and fintech platforms could compete for the lower end of the wealth spectrum, and AI-driven trading algorithms could compress margins in the Investment Bank. The structural shift in financial services from AI is a real medium-term risk, with the bank acknowledging that AI could cause 'customers to bypass bank-owned digital platforms' [3]. AI Opportunity (1/1): UBS has appointed a dedicated CAIO, deployed AI efficiency programs across the organization, and is actively investing in AI-powered advisory and operational tools, with management describing AI as central to the next phase of integration synergies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UBS Q1 2026 Earnings Release and 6-K Filing — SEC, April 2026</w:t>
      </w:r>
    </w:p>
    <w:p>
      <w:pPr>
        <w:spacing w:before="20" w:after="20"/>
        <w:ind w:left="170"/>
      </w:pPr>
      <w:r>
        <w:rPr>
          <w:rFonts w:ascii="Calibri" w:hAnsi="Calibri"/>
          <w:b/>
          <w:color w:val="4A6B25"/>
          <w:sz w:val="15"/>
        </w:rPr>
        <w:t xml:space="preserve">2. </w:t>
      </w:r>
      <w:r>
        <w:rPr>
          <w:rFonts w:ascii="Calibri" w:hAnsi="Calibri"/>
          <w:b w:val="0"/>
          <w:color w:val="3A4A28"/>
          <w:sz w:val="17"/>
        </w:rPr>
        <w:t>UBS Q1 2026 Investor Presentation and Slides — ubs.com, April 2026</w:t>
      </w:r>
    </w:p>
    <w:p>
      <w:pPr>
        <w:spacing w:before="20" w:after="20"/>
        <w:ind w:left="170"/>
      </w:pPr>
      <w:r>
        <w:rPr>
          <w:rFonts w:ascii="Calibri" w:hAnsi="Calibri"/>
          <w:b/>
          <w:color w:val="4A6B25"/>
          <w:sz w:val="15"/>
        </w:rPr>
        <w:t xml:space="preserve">3. </w:t>
      </w:r>
      <w:r>
        <w:rPr>
          <w:rFonts w:ascii="Calibri" w:hAnsi="Calibri"/>
          <w:b w:val="0"/>
          <w:color w:val="3A4A28"/>
          <w:sz w:val="17"/>
        </w:rPr>
        <w:t>UBS Innovation and AI Strategy, CAIO Appointment — CIO Dive and ubs.com, January 2026</w:t>
      </w:r>
    </w:p>
    <w:p>
      <w:pPr>
        <w:spacing w:before="20" w:after="20"/>
        <w:ind w:left="170"/>
      </w:pPr>
      <w:r>
        <w:rPr>
          <w:rFonts w:ascii="Calibri" w:hAnsi="Calibri"/>
          <w:b/>
          <w:color w:val="4A6B25"/>
          <w:sz w:val="15"/>
        </w:rPr>
        <w:t xml:space="preserve">4. </w:t>
      </w:r>
      <w:r>
        <w:rPr>
          <w:rFonts w:ascii="Calibri" w:hAnsi="Calibri"/>
          <w:b w:val="0"/>
          <w:color w:val="3A4A28"/>
          <w:sz w:val="17"/>
        </w:rPr>
        <w:t>UBS Sustainability Report 2024 and ESG Ratings — MSCI AA, Sustainalytics, CDP A List</w:t>
      </w:r>
    </w:p>
    <w:p>
      <w:pPr>
        <w:spacing w:before="20" w:after="20"/>
        <w:ind w:left="170"/>
      </w:pPr>
      <w:r>
        <w:rPr>
          <w:rFonts w:ascii="Calibri" w:hAnsi="Calibri"/>
          <w:b/>
          <w:color w:val="4A6B25"/>
          <w:sz w:val="15"/>
        </w:rPr>
        <w:t xml:space="preserve">5. </w:t>
      </w:r>
      <w:r>
        <w:rPr>
          <w:rFonts w:ascii="Calibri" w:hAnsi="Calibri"/>
          <w:b w:val="0"/>
          <w:color w:val="3A4A28"/>
          <w:sz w:val="17"/>
        </w:rPr>
        <w:t>Yahoo Finance and StockAnalysis — UBS Key Statistics and Financial Data,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