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USFD</w:t>
      </w:r>
      <w:r>
        <w:rPr>
          <w:rFonts w:ascii="Calibri" w:hAnsi="Calibri"/>
          <w:b/>
          <w:color w:val="1A2010"/>
          <w:sz w:val="40"/>
        </w:rPr>
        <w:t xml:space="preserve">  US Foods Holding Corp.</w:t>
      </w:r>
    </w:p>
    <w:p>
      <w:pPr>
        <w:spacing w:after="120"/>
      </w:pPr>
      <w:r>
        <w:rPr>
          <w:rFonts w:ascii="Calibri" w:hAnsi="Calibri"/>
          <w:b/>
          <w:color w:val="6E8450"/>
          <w:sz w:val="18"/>
        </w:rPr>
        <w:t>GROWTH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US Foods Holding Corp. markets, sells, and distributes fresh, frozen, and dry food and non-food products to foodservice customers in the United States. The company serves independently owned restaurants, healthcare facilities, hospitality operators, and government entities through a network of 70+ distribution centers.</w:t>
      </w:r>
    </w:p>
    <w:p>
      <w:r>
        <w:rPr>
          <w:rFonts w:ascii="Calibri" w:hAnsi="Calibri"/>
          <w:b/>
          <w:color w:val="6E8450"/>
          <w:sz w:val="18"/>
        </w:rPr>
        <w:t>30,000 Employees · https://www.usfoods.com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 Foods has maintained steady market share gains — 20 consecutive quarters of independent restaurant share gains and 22 quarters in healthcare — but no transformative business model innovation [1]. AI Deployment (1/2): Launched MenuIQ, an AI-powered menu analytics tool achieving 15% customer adoption within two months (double expectations), demonstrating meaningful AI deployment in foodservice operations [1]. Market Share (2/2): Second-largest US foodservice distributor behind Sysco, with dominant positions in independent restaurants and healthcare customers. Product Pipeline (1/2): MenuIQ expansion and digital ordering platform enhancements provide incremental capability building. R&amp;D Intensity (0/1): Food distribution has minimal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 Foods' purpose of helping restaurants succeed is clear but not deeply distinctive — it describes the business function rather than a transformative vision. Community Impact (1/2): Food distribution inherently serves community needs, with disaster response capabilities and food bank partnerships. Employee Retention (1/2): 30,000 employees with stable operations under CEO Dave Flitman. Insider Buying (0/2): No notable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Q1 2026 net sales of $9.6B (up 2.8% YoY), adjusted diluted EPS of $0.78 (up 14.7%), but missed consensus estimates [1]. D/E of 122.9% is above the 70% target (0.77). ROE of 15.13% meets the 15% target (1.0, 2x weight). Forward PE of 18.39 is below the 20 target (1.0). Profit margin of 1.71% is low (0.09). Revenue growth of 2.8% is below the 10% target (0.76). PEG of 0.73 is below the 1.0 target (1.0, 2x weight). Full-year guidance of $41-41.8B revenue (4-6% growth) and 18-24% adjusted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 Foods operates with a mixed mindset — consistent market share gains over 20+ quarters demonstrate patient capability building, but the company's strategic positioning is primarily about operational efficiency and scale rather than a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 Foods' purpose of helping restaurants succeed is genuine but shallow — it describes the value proposition rather than an aspirational cause that would inspire sacrifice or long-term commitment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30,000 employees across distribution operations with generally stable leadership. The company's operational execution (20 consecutive quarters of share gains) suggests disciplined internal alignment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framing versus Sysco is primarily about closing the market share gap rather than learning from the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MenuIQ and digital ordering platform represent incremental evolution of the distribution model, leveraging technology to add value beyond physical delivery. Meaningful but not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performance for future capability. Strategy is execution-focused rather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Foods delivered Q1 2026 net sales of $9.6B (up 2.8%) with adjusted EPS of $0.78 (up 14.7%), marking the 20th consecutive quarter of independent restaurant share gains [1]. Full-year guidance of 4-6% revenue growth and 18-24% adjusted EPS growth suggests continued margin leverage. The PEG of 0.73 and forward PE of 18.39 offer reasonable valuation. MenuIQ's 15% adoption rate demonstrates technology differentiation versus competitors.</w:t>
      </w:r>
    </w:p>
    <w:p>
      <w:pPr>
        <w:spacing w:after="120"/>
      </w:pPr>
      <w:r>
        <w:rPr>
          <w:rFonts w:ascii="Calibri" w:hAnsi="Calibri"/>
          <w:b w:val="0"/>
          <w:color w:val="3A4A28"/>
          <w:sz w:val="20"/>
        </w:rPr>
        <w:t>The primary risk is the thin profit margin — at 1.71%, US Foods has minimal cushion for volume or pricing headwinds. Revenue and EPS both missed consensus in Q1, suggesting macro softness in restaurant spending. D/E of 123% is elevated for a low-margin business, creating financial fragility in a downturn. Food distribution is a scale-dependent, commoditized business where sustainable competitive advantages are difficult to maintain beyond operational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MenuIQ adoption at 15% within 2 months (2x initial expectations) could drive deeper customer relationships and reduce churn in the independent restaurant segment</w:t>
      </w:r>
    </w:p>
    <w:p>
      <w:pPr>
        <w:spacing w:before="40" w:after="40"/>
        <w:ind w:left="283"/>
      </w:pPr>
      <w:r>
        <w:rPr>
          <w:rFonts w:ascii="Calibri" w:hAnsi="Calibri"/>
          <w:b/>
          <w:color w:val="4A6B25"/>
          <w:sz w:val="20"/>
        </w:rPr>
        <w:t xml:space="preserve">2. </w:t>
      </w:r>
      <w:r>
        <w:rPr>
          <w:rFonts w:ascii="Calibri" w:hAnsi="Calibri"/>
          <w:b w:val="0"/>
          <w:color w:val="3A4A28"/>
          <w:sz w:val="20"/>
        </w:rPr>
        <w:t>Full-year guidance of 18-24% adjusted EPS growth through margin expansion and cost leverage on the existing distribution network</w:t>
      </w:r>
    </w:p>
    <w:p>
      <w:pPr>
        <w:spacing w:before="40" w:after="40"/>
        <w:ind w:left="283"/>
      </w:pPr>
      <w:r>
        <w:rPr>
          <w:rFonts w:ascii="Calibri" w:hAnsi="Calibri"/>
          <w:b/>
          <w:color w:val="4A6B25"/>
          <w:sz w:val="20"/>
        </w:rPr>
        <w:t xml:space="preserve">3. </w:t>
      </w:r>
      <w:r>
        <w:rPr>
          <w:rFonts w:ascii="Calibri" w:hAnsi="Calibri"/>
          <w:b w:val="0"/>
          <w:color w:val="3A4A28"/>
          <w:sz w:val="20"/>
        </w:rPr>
        <w:t>20 consecutive quarters of independent restaurant share gains suggest the company is winning structurally, not just cyclically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1.71% leaves minimal buffer — any restaurant spending softness, inflation spikes, or delivery cost increases could erode profitability</w:t>
      </w:r>
    </w:p>
    <w:p>
      <w:pPr>
        <w:spacing w:before="40" w:after="40"/>
        <w:ind w:left="283"/>
      </w:pPr>
      <w:r>
        <w:rPr>
          <w:rFonts w:ascii="Calibri" w:hAnsi="Calibri"/>
          <w:b/>
          <w:color w:val="4A6B25"/>
          <w:sz w:val="20"/>
        </w:rPr>
        <w:t xml:space="preserve">2. </w:t>
      </w:r>
      <w:r>
        <w:rPr>
          <w:rFonts w:ascii="Calibri" w:hAnsi="Calibri"/>
          <w:b w:val="0"/>
          <w:color w:val="3A4A28"/>
          <w:sz w:val="20"/>
        </w:rPr>
        <w:t>Q1 revenue and EPS both missed consensus estimates, suggesting macro headwinds may challenge the 4-6% full-year revenue growth target</w:t>
      </w:r>
    </w:p>
    <w:p>
      <w:pPr>
        <w:spacing w:before="40" w:after="40"/>
        <w:ind w:left="283"/>
      </w:pPr>
      <w:r>
        <w:rPr>
          <w:rFonts w:ascii="Calibri" w:hAnsi="Calibri"/>
          <w:b/>
          <w:color w:val="4A6B25"/>
          <w:sz w:val="20"/>
        </w:rPr>
        <w:t xml:space="preserve">3. </w:t>
      </w:r>
      <w:r>
        <w:rPr>
          <w:rFonts w:ascii="Calibri" w:hAnsi="Calibri"/>
          <w:b w:val="0"/>
          <w:color w:val="3A4A28"/>
          <w:sz w:val="20"/>
        </w:rPr>
        <w:t>D/E of 123% is elevated for a low-margin cyclical business, creating vulnerability to rising rates and reduced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US Foods' core business — physical food distribution through 70+ warehouses, refrigerated trucking, and in-person sales relationships — is structurally protected from AI disruption. Food supply chains require cold chain logistics, food safety compliance, and physical delivery that AI cannot substitute. Restaurant relationships and local market knowledge create switching costs. AI Opportunity (1/1): MenuIQ demonstrates measurable AI deployment — 15% customer adoption in two months with AI-powered menu optimization helping restaurants improve profitability, creating customer stickiness and competitive differentiation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Foods Q1 2026 Earnings Release — ir.usfoods.com, May 2026</w:t>
      </w:r>
    </w:p>
    <w:p>
      <w:pPr>
        <w:spacing w:before="20" w:after="20"/>
        <w:ind w:left="170"/>
      </w:pPr>
      <w:r>
        <w:rPr>
          <w:rFonts w:ascii="Calibri" w:hAnsi="Calibri"/>
          <w:b/>
          <w:color w:val="4A6B25"/>
          <w:sz w:val="15"/>
        </w:rPr>
        <w:t xml:space="preserve">2. </w:t>
      </w:r>
      <w:r>
        <w:rPr>
          <w:rFonts w:ascii="Calibri" w:hAnsi="Calibri"/>
          <w:b w:val="0"/>
          <w:color w:val="3A4A28"/>
          <w:sz w:val="17"/>
        </w:rPr>
        <w:t>US Foods Q1 2026 Earnings Coverage — ChartMill, Motley Fool,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USFD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