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VET</w:t>
      </w:r>
      <w:r>
        <w:rPr>
          <w:rFonts w:ascii="Calibri" w:hAnsi="Calibri"/>
          <w:b/>
          <w:color w:val="1A2010"/>
          <w:sz w:val="40"/>
        </w:rPr>
        <w:t xml:space="preserve">  Vermilion Energy Inc.</w:t>
      </w:r>
    </w:p>
    <w:p>
      <w:pPr>
        <w:spacing w:after="120"/>
      </w:pPr>
      <w:r>
        <w:rPr>
          <w:rFonts w:ascii="Calibri" w:hAnsi="Calibri"/>
          <w:b/>
          <w:color w:val="6E8450"/>
          <w:sz w:val="18"/>
        </w:rPr>
        <w:t>DIVIDEND SLEEVE · 2026-07-16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Canada</w:t>
      </w:r>
    </w:p>
    <w:p>
      <w:pPr>
        <w:spacing w:after="80"/>
      </w:pPr>
      <w:r>
        <w:rPr>
          <w:rFonts w:ascii="Calibri" w:hAnsi="Calibri"/>
          <w:b w:val="0"/>
          <w:color w:val="3A4A28"/>
          <w:sz w:val="20"/>
        </w:rPr>
        <w:t>Vermilion Energy is a diversified international oil and gas producer with operations across North America (Canada), Europe (France, Netherlands, Germany, Ireland, Croatia), and Australia. The company focuses on natural gas-weighted production, delivering over 40% production per share growth in 2025 versus 2024 and guiding for 118,000-122,000 boe/d in 2026, with approximately 85% of capital invested in its global gas portfolio.</w:t>
      </w:r>
    </w:p>
    <w:p>
      <w:r>
        <w:rPr>
          <w:rFonts w:ascii="Calibri" w:hAnsi="Calibri"/>
          <w:b/>
          <w:color w:val="6E8450"/>
          <w:sz w:val="18"/>
        </w:rPr>
        <w:t>636 Employees · https://www.vermilionenergy.com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Vermilion delivered 17% revenue growth in 2025 to CAD $1.7B and achieved a 40% increase in production per share versus 2024, with 30% structural improvement in capital efficiency and operating costs [1]. Q1 2026 production of 64,000 boe/d was up approximately 5% YoY, tracking toward the 118-122K boe/d annual target [2]. These represent strong capital allocation and operational execution in a cyclical industry. AI Deployment (0/2): No evidence of AI-powered products, digital transformation initiatives, or quantified AI-driven operational savings; Vermilion operates a traditional E&amp;P business model without a publicly articulated AI strategy [3]. Market Share (1/2): Vermilion holds meaningful positions in European gas production (France, Netherlands, Germany) providing geographic differentiation rare among North American E&amp;Ps, though it is not a dominant player in any single basin [1]. Pipeline (1/2): The 2026 budget of CAD $600-630M with 85% allocated to global gas portfolio represents a clear strategic pivot, with Q2 2026 guidance expected to show continued production ramp [1]. R&amp;D Intensity (1/1): Above-average capital efficiency improvement (30% structural cost reduction) demonstrates technical competence for an E&amp;P of this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Vermilion's stated priorities of health/safety, environment, and profitability provide a clear hierarchy, and the company's MSCI ESG A rating for consecutive years reflects genuine commitment beyond words [4]. However, the mission remains standard E&amp;P framing without distinctive articulation. Community Impact (1/2): Recognized as the highest-ranked oil and gas company on Corporate Knights Future 40 Responsible Corporate Leaders in Canada list, with active community engagement across its international footprint [4]. Employee Retention (1/2): CEO Dion Hatcher promoted to President from 15 years of internal leadership roles, demonstrating promotion-from-within culture and continuity [3]. Executive Chairman Lorenzo Donadeo co-founded the company in 1994, providing 30+ years of cultural anchor. Core values of excellence, respect, integrity, and collaboration guide operations [3]. Insider Buying (1/2): Fifth consecutive year of dividend increases (4% raise announced for 2026) signals management confidence in sustainable cash flows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sleeve. D/E of 58.6% is well within the 70% target, reflecting conservative leverage with $951M debt against $33M cash [5]. ROE depressed at 3.73% due to $653.6M impairment-driven net loss in 2025 — operating margin of 19.39% reflects healthier underlying operations [5]. Revenue growth of 17% YoY exceeds the 10% target [1]. Forward P/E estimated at ~11x is attractive for energy sector with analyst consensus Buy rating and $16.3 price target representing 46% upside [5]. Negative net profit margin of -11.64% reflects non-cash impairments rather than operational weakness [5]. Dividend track record includes 6 consecutive years paid since 2021 reinstatement, 5 consecutive years of growth with 4% increase for 2026, yield of 4.38%, and estimated dividend growth CAGR of ~12% from low reinstatement base [1][5]. Liquidity adequate at approximately $22M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Vermilion demonstrates meaningful infinite game characteristics through its 30-year operating history since 1994, strategic pivot to gas-weighted production for the energy transition, and internal leadership development culture. The 2020 dividend cut and reinstatement demonstrated adaptive resilience. However, commodity price dependence and generic corporate values keep it in mixed territory rather than truly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Vermilion's purpose centers on responsible energy production with clear priorities (safety, environment, profitability) validated by MSCI ESG A rating and Corporate Knights recognition [4]. The strategic repositioning toward 70% gas production connects to a broader energy transition narrative where gas serves as a bridge fuel. However, the cause lacks the distinctive articulation that would inspire sacrifice beyond standard E&amp;P industry framing.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values of excellence, respect, integrity, and collaboration are reinforced through an engaged, collaborative, community-minded culture that leadership describes as setting Vermilion apart [3]. CEO Dion Hatcher's promotion after 15 internal years and Executive Chairman Donadeo's 30-year tenure demonstrate deep trust in home-grown talent. The small team of ~636 employees managing international operations across six countries implies a lean, empowered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Vermilion competes with numerous E&amp;P companies across multiple geographies, and the strategic decision to sell U.S. assets and allocate 85% of capex to gas reflects awareness of relative competitive advantages versus oil-weighted peers [1]. The company's international diversification strategy implicitly acknowledges that peers with deeper single-basin positions may outperform in specific markets, motivating geographic spread.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Vermilion's strongest infinite game dimension. Geographic diversification across six countries and multiple basins provides strategic optionality [1]. The bold pivot to 70% gas production and 85% gas-weighted capex in 2026 represents existential flexibility — repositioning for the energy transition while maintaining oil assets. Surviving the 2020 dividend suspension and rebuilding through five consecutive years of increases demonstrates adaptive resilience in a hostile environment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sell U.S. assets and concentrate on international gas was a contrarian strategic bet that sacrificed near-term diversification for long-term focus [1]. The 40% production per share growth and 30% structural cost improvement reflect disciplined execution on a bold capital program. The 4% dividend increase despite $653M in impairment charges shows willingness to look through short-term noise and signal long-term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Vermilion Energy is a differentiated international gas producer delivering 40% production per share growth in 2025 with a uniquely diversified footprint across Canada, Europe, and Australia [1]. At approximately 11x forward P/E with a 4.38% dividend yield — the fifth consecutive year of increases — the stock offers compelling income and value for energy investors seeking gas exposure without pure-play commodity concentration risk [5]. The 2026 budget of CAD $600-630M targeting 118-122K boe/d production provides clear visibility, and the 30% structural cost improvement demonstrates capital discipline [1]. Analyst consensus Buy with 46% upside to $16.3 target reflects conviction in the operational turnaround.</w:t>
      </w:r>
    </w:p>
    <w:p>
      <w:pPr>
        <w:spacing w:after="120"/>
      </w:pPr>
      <w:r>
        <w:rPr>
          <w:rFonts w:ascii="Calibri" w:hAnsi="Calibri"/>
          <w:b w:val="0"/>
          <w:color w:val="3A4A28"/>
          <w:sz w:val="20"/>
        </w:rPr>
        <w:t>The bear case centers on commodity dependence and GAAP financial distress signals. The $653M net loss in 2025 — driven by non-cash impairments on legacy assets in Australia, France, and Ireland — pushed GAAP profit margin to -11.64% and ROE to 3.73%, masking strong underlying operations with 19.39% operating margin [5]. Revenue volatility is severe in commodity cycles. Interest coverage of only 1.0x creates refinancing risk if prices decline, and the dividend was previously suspended in 2020 — resetting the payment history to only six years [5]. International operations create geopolitical risk (European energy policy shifts, currency exposure) and complexity. Climate transition risk remains structural for hydrocarbon producers despite the gas bridge-fuel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118-122K boe/d production target in 2026 with 70% gas mix providing energy transition positioning as AI data center demand drives incremental gas-fired electricity consumption [1]</w:t>
      </w:r>
    </w:p>
    <w:p>
      <w:pPr>
        <w:spacing w:before="40" w:after="40"/>
        <w:ind w:left="283"/>
      </w:pPr>
      <w:r>
        <w:rPr>
          <w:rFonts w:ascii="Calibri" w:hAnsi="Calibri"/>
          <w:b/>
          <w:color w:val="4A6B25"/>
          <w:sz w:val="20"/>
        </w:rPr>
        <w:t xml:space="preserve">2. </w:t>
      </w:r>
      <w:r>
        <w:rPr>
          <w:rFonts w:ascii="Calibri" w:hAnsi="Calibri"/>
          <w:b w:val="0"/>
          <w:color w:val="3A4A28"/>
          <w:sz w:val="20"/>
        </w:rPr>
        <w:t>European natural gas prices remaining elevated due to geopolitical supply constraints, benefiting Vermilion's differentiated geographic exposure and supporting premium pricing [1]</w:t>
      </w:r>
    </w:p>
    <w:p>
      <w:pPr>
        <w:spacing w:before="40" w:after="40"/>
        <w:ind w:left="283"/>
      </w:pPr>
      <w:r>
        <w:rPr>
          <w:rFonts w:ascii="Calibri" w:hAnsi="Calibri"/>
          <w:b/>
          <w:color w:val="4A6B25"/>
          <w:sz w:val="20"/>
        </w:rPr>
        <w:t xml:space="preserve">3. </w:t>
      </w:r>
      <w:r>
        <w:rPr>
          <w:rFonts w:ascii="Calibri" w:hAnsi="Calibri"/>
          <w:b w:val="0"/>
          <w:color w:val="3A4A28"/>
          <w:sz w:val="20"/>
        </w:rPr>
        <w:t>Sixth consecutive dividend increase expected in 2027, further validating the income thesis and potentially attracting dividend-focused capital to the stock at 4.38% current yield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commodity price weakness in both oil and European gas could impair ability to maintain dividend while funding the $600-630M capital program — interest coverage of only 1.0x provides minimal cushion [5]</w:t>
      </w:r>
    </w:p>
    <w:p>
      <w:pPr>
        <w:spacing w:before="40" w:after="40"/>
        <w:ind w:left="283"/>
      </w:pPr>
      <w:r>
        <w:rPr>
          <w:rFonts w:ascii="Calibri" w:hAnsi="Calibri"/>
          <w:b/>
          <w:color w:val="4A6B25"/>
          <w:sz w:val="20"/>
        </w:rPr>
        <w:t xml:space="preserve">2. </w:t>
      </w:r>
      <w:r>
        <w:rPr>
          <w:rFonts w:ascii="Calibri" w:hAnsi="Calibri"/>
          <w:b w:val="0"/>
          <w:color w:val="3A4A28"/>
          <w:sz w:val="20"/>
        </w:rPr>
        <w:t>Non-cash impairment losses of $653M in 2025 signal potential asset quality deterioration or overly aggressive prior acquisition valuations that may require further write-downs [1]</w:t>
      </w:r>
    </w:p>
    <w:p>
      <w:pPr>
        <w:spacing w:before="40" w:after="40"/>
        <w:ind w:left="283"/>
      </w:pPr>
      <w:r>
        <w:rPr>
          <w:rFonts w:ascii="Calibri" w:hAnsi="Calibri"/>
          <w:b/>
          <w:color w:val="4A6B25"/>
          <w:sz w:val="20"/>
        </w:rPr>
        <w:t xml:space="preserve">3. </w:t>
      </w:r>
      <w:r>
        <w:rPr>
          <w:rFonts w:ascii="Calibri" w:hAnsi="Calibri"/>
          <w:b w:val="0"/>
          <w:color w:val="3A4A28"/>
          <w:sz w:val="20"/>
        </w:rPr>
        <w:t>Geopolitical and regulatory complexity across six countries creates operational risk — European energy policy shifts, carbon taxes, and the prior dividend suspension in 2020 demonstrate vulnerability to external shocks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Vermilion's core business is physical extraction and production of oil and natural gas from subsurface reservoirs across six countries — drilling, operating wells, and processing hydrocarbons involve complex physical operations that AI structurally cannot displace [3]. The company's diversified geographic footprint across Canada, France, Netherlands, Germany, Ireland, Croatia, and Australia creates regulatory complexity that further insulates from disruption. Critically, increasing AI compute demand drives incremental electricity consumption, and gas-fired power generation is the primary balancing fuel for AI data center expansion — making Vermilion an indirect AI beneficiary through its 70% gas-weighted portfolio [1]. AI Opportunity (0/1): No evidence of AI-specific revenue; AI tools may improve drilling optimization and reservoir modeling incrementally but no quantifiable contribution exists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Vermilion Energy Q3 2025 Results / 2026 Budget Press Release — Record production, 40% per-share growth, CAD $600-630M budget, 4% dividend increase, PR Newswire, November 2025</w:t>
      </w:r>
    </w:p>
    <w:p>
      <w:pPr>
        <w:spacing w:before="20" w:after="20"/>
        <w:ind w:left="170"/>
      </w:pPr>
      <w:r>
        <w:rPr>
          <w:rFonts w:ascii="Calibri" w:hAnsi="Calibri"/>
          <w:b/>
          <w:color w:val="4A6B25"/>
          <w:sz w:val="15"/>
        </w:rPr>
        <w:t xml:space="preserve">2. </w:t>
      </w:r>
      <w:r>
        <w:rPr>
          <w:rFonts w:ascii="Calibri" w:hAnsi="Calibri"/>
          <w:b w:val="0"/>
          <w:color w:val="3A4A28"/>
          <w:sz w:val="17"/>
        </w:rPr>
        <w:t>Vermilion Energy Form 6-K Q1 2026 Results — 64,000 boe/d production, SEC Filing, 2026</w:t>
      </w:r>
    </w:p>
    <w:p>
      <w:pPr>
        <w:spacing w:before="20" w:after="20"/>
        <w:ind w:left="170"/>
      </w:pPr>
      <w:r>
        <w:rPr>
          <w:rFonts w:ascii="Calibri" w:hAnsi="Calibri"/>
          <w:b/>
          <w:color w:val="4A6B25"/>
          <w:sz w:val="15"/>
        </w:rPr>
        <w:t xml:space="preserve">3. </w:t>
      </w:r>
      <w:r>
        <w:rPr>
          <w:rFonts w:ascii="Calibri" w:hAnsi="Calibri"/>
          <w:b w:val="0"/>
          <w:color w:val="3A4A28"/>
          <w:sz w:val="17"/>
        </w:rPr>
        <w:t>Vermilion Energy Corporate Website — Leadership team (CEO Dion Hatcher, Chairman Donadeo), culture and values,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Vermilion Energy Sustainability / MSCI ESG — A rating consecutive years, Corporate Knights Future 40 ranking, TCFD Climate Report, 2023-2025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GuruFocus — VET key statistics, D/E 58.6%, ROE 3.73%, dividend yield 4.38%, analyst consensus Buy target $16.3,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