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VFLEX</w:t>
      </w:r>
      <w:r>
        <w:rPr>
          <w:rFonts w:ascii="Calibri" w:hAnsi="Calibri"/>
          <w:b/>
          <w:color w:val="1A2010"/>
          <w:sz w:val="40"/>
        </w:rPr>
        <w:t xml:space="preserve">  First Trust Alternative Opportunities Fund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2026-07-25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— Interval Fund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First Trust Alternative Opportunities Fund (Class I) is a closed-end interval fund providing diversified exposure to alternative asset classes including Private Equity, Private Credit, Real Estate, Hedged Strategies, and Co-Investments through a multi-manager, multi-strategy approach managed by First Trust Capital Management L.P. NAV of $27.76 with $3.44 billion in net assets and a 1.16% expense ratio. The fund pays monthly distributions with a 7.0% yield and offers quarterly liquidity through repurchase offers at NAV [1].</w:t>
      </w:r>
    </w:p>
    <w:p>
      <w:r>
        <w:rPr>
          <w:rFonts w:ascii="Calibri" w:hAnsi="Calibri"/>
          <w:b/>
          <w:color w:val="6E8450"/>
          <w:sz w:val="18"/>
        </w:rPr>
        <w:t>https://www.firsttrustcapital.com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First Trust Capital Solutions pioneered an interval fund structure that provides retail investors access to institutional alternative investments — Private Equity, Real Estate, Alternative Credit, Hedged Strategies — without net worth or accreditation requirements, an incremental product innovation in the fund management space [1]. The fund grew to $3.44B in net assets, demonstrating market acceptance. AI Deployment (0/2): No evidence of AI-powered products or quantified AI-driven savings in fund management or allocation processes. Market Share (0/2): While $3.44B AUM is meaningful for an interval fund, the alternatives space is dominated by Blackstone ($1T+), KKR, and Apollo. VFLEX is not a category leader. Product Pipeline (0/2): No next-generation products or strategic initiatives announced with specific timelines. R&amp;D Intensity (0/1): Not applicable to fund management.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First Trust Capital Solutions' stated purpose — enabling all investors to gain exposure to institutional-quality alternative investments — is clear but generic and interchangeable with any democratized alternatives platform [1]. CEO Michael Peck and President Tom Reckley lead the joint venture between First Trust Portfolios and Vivaldi, but the mission does not articulate a transformative vision beyond product distribution [2]. Community Impact (0/2): No evidence of charitable giving, foundation, or community investment programs specific to VFLEX or First Trust Capital Solutions. Employee Retention (0/2): No public data on employee retention, tenure, or turnover for the fund management team. Insider Buying (0/2): As a mutual fund vehicle, insider buying data is not available in the traditional sense.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is scored 0 due to the fundamental incompatibility of the IOWN framework with an interval fund structure. VFLEX is not a publicly traded equity with standard financial metrics — it has no P/E ratio, debt-to-equity, return on equity, profit margin, or revenue growth. As an interval fund, VFLEX does not trade on secondary markets; shares are purchased and redeemed directly with the fund company at NAV during quarterly repurchase windows, meaning avg_daily_volume is effectively zero [1]. The liquidity floor (avg_daily_volume × price &lt; $1M) is triggered, forcing Infrastructure to 0. The fund's 7.0% distribution yield and ~10% one-year total return reflect fund performance, not the operational financial health metrics this framework evaluates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VFLEX is a financial product, not a mission-driven organization. The fund exists to generate returns for investors through diversified alternative allocations — a legitimate and valuable purpose, but not a Just Cause in the Sinek framework. Investment funds by their nature optimize for quarterly performance, NAV accretion, and distribution sustainability, which are inherently finite-game metrics. The fund's interval structure and quarterly liquidity windows further reinforce a finite-horizon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VFLEX exists to generate investment returns through diversified alternative allocations. There is no articulated vision of a better future, no purpose beyond financial performance, and no Just Cause that would inspire sacrifice or long-term commitment from stakeholders. 'Democratizing alternatives' is a product positioning strategy, not a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As an investment fund rather than an operating company, there is no organizational team to evaluate for trust, psychological safety, or empowerment. The fund is managed by a small team at First Trust Capital Management L.P. with no public data on culture or employee dynamics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The fund operates in a competitive landscape with Blackstone, KKR, and other alternatives platforms, but there is no public commentary from management framing competition as motivation for self-improvement rather than market share capture.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The fund has maintained the same multi-manager alternative investment strategy since inception. No evidence of strategic pivots or willingness to fundamentally change the investment approach in service of a larger purpose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making courageous long-term decisions that sacrifice near-term performance. Fund management is inherently focused on maintaining NAV stability and distribution consistency, which are finite-game objectives.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VFLEX offers retail investors diversified exposure to institutional alternative asset classes — Private Equity, Private Credit, Real Estate, and Hedged Strategies — through a single interval fund vehicle with a 7.0% distribution yield and monthly income [1]. The fund's $3.44B in net assets and ~10% one-year total return demonstrate market acceptance, and the multi-manager approach provides built-in diversification across alternative strategies. For income-focused investors seeking alternatives exposure without accreditation requirements or high minimum investments, VFLEX fills a legitimate portfolio niche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VFLEX is fundamentally unsuitable for the IOWN Return on Intention framework, which evaluates companies as owners — assessing innovation, mission, financial infrastructure, AI resilience, and long-term organizational purpose. An interval fund has no P/E ratio, no revenue growth, no R&amp;D pipeline, no employees, and no Just Cause. The 1.16% expense ratio, while competitive for alternatives, erodes returns versus direct investments. The interval fund structure limits liquidity to quarterly repurchase windows, creating potential illiquidity risk during market stress. Additionally, return-of-capital distributions can mask underlying performance deterioration. The IOWN scoring framework assigns VFLEX a SELL not because it is necessarily a poor investment, but because funds are structurally incompatible with the stock screening methodology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growth in AUM beyond $3.44B as retail investors increase alternative allocations, potentially improving economies of scale and fee efficiency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Strong performance in underlying private equity and private credit allocations if credit markets remain favorable and PE exit activity accelerates in 2026-2027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fee reductions or share class improvements that improve net-of-fee returns for investors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Interval fund structure limits liquidity to quarterly repurchase windows at NAV — during market stress, redemption demand could exceed repurchase capacity, trapping investors in declining positions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1.16% fund-level expense ratio plus underlying manager fees creates layered costs that compound against returns over time, particularly in low-return environments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IOWN framework structural mismatch — VFLEX cannot be evaluated as an operating company, making all Innovation, Inspiration, Infrastructure, and Infinite Game scores fundamentally inapplicable to the fund's actual investment merits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EXPOSED. VFLEX's multi-manager alternative investment approach faces moderate AI disruption risk. The fund's core value proposition — providing retail access to institutional alternatives — is being eroded as fintech platforms, robo-advisors, and AI-driven allocation engines increasingly offer alternative investment access at lower cost [1]. The fund-of-funds model's manager selection and allocation functions could be partially automated by quantitative AI strategies. However, the underlying private equity, real estate, and private credit investments involve physical-world assets and relationship-driven deal sourcing that AI cannot easily replicate. AI Opportunity (0/1): No evidence of AI-generated revenue or AI-powered products. The fund management does not deploy AI tools for allocation or risk management in a way that generates external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First Trust Capital Solutions — VFLEX Product Page and Retail Presentation,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First Trust Capital Management L.P. — Our Team and Leadership,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Morningstar and MutualFunds.com — VFLEX Performance and Fund Overview,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