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VIK</w:t>
      </w:r>
      <w:r>
        <w:rPr>
          <w:rFonts w:ascii="Calibri" w:hAnsi="Calibri"/>
          <w:b/>
          <w:color w:val="1A2010"/>
          <w:sz w:val="40"/>
        </w:rPr>
        <w:t xml:space="preserve">  Viking Holdings Ltd</w:t>
      </w:r>
    </w:p>
    <w:p>
      <w:pPr>
        <w:spacing w:after="120"/>
      </w:pPr>
      <w:r>
        <w:rPr>
          <w:rFonts w:ascii="Calibri" w:hAnsi="Calibri"/>
          <w:b/>
          <w:color w:val="6E8450"/>
          <w:sz w:val="18"/>
        </w:rPr>
        <w:t>GROWTH SLEEVE · 2026-07-14 · Inspire: 0 · INFINITE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Travel Services · NYSE · Bermuda</w:t>
      </w:r>
    </w:p>
    <w:p>
      <w:pPr>
        <w:spacing w:after="80"/>
      </w:pPr>
      <w:r>
        <w:rPr>
          <w:rFonts w:ascii="Calibri" w:hAnsi="Calibri"/>
          <w:b w:val="0"/>
          <w:color w:val="3A4A28"/>
          <w:sz w:val="20"/>
        </w:rPr>
        <w:t>Viking Holdings Ltd is a premium cruise operator offering destination-focused river, ocean, and expedition voyages. The company operates 92 river vessels, 12 ocean ships, and 2 expedition ships across Europe, Asia, Africa, the Americas, and polar regions. Founded in 1997 by Torstein Hagen, who transitioned to Executive Chairman in May 2026 with Leah Talactac succeeding as CEO. Viking IPO'd on the NYSE in May 2024. Known for culturally enriching travel experiences targeting educated, affluent travelers. Headquartered in Basel, Switzerland.</w:t>
      </w:r>
    </w:p>
    <w:p>
      <w:r>
        <w:rPr>
          <w:rFonts w:ascii="Calibri" w:hAnsi="Calibri"/>
          <w:b/>
          <w:color w:val="6E8450"/>
          <w:sz w:val="18"/>
        </w:rPr>
        <w:t>11,000 Employees · https://www.viking.com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Viking has successfully expanded from its river cruise origins into ocean cruises (launched 2015), expedition cruises (launched 2022), and Mississippi river cruises, creating a multi-platform travel company that maintains consistent brand positioning across all segments. Each new platform represented a significant capital commitment and strategic risk. Most notably, Viking is launching the Viking Libra in 2026, the world's first hydrogen-powered cruise ship capable of zero-emission operations, a genuine industry-first innovation [1][3]. AI Deployment (1/2): Viking has deployed AI internally through LivePerson Conversational Cloud for chatbots, Phenom AI for hiring and talent acquisition, and is actively recruiting AI engineers to build AI agents that support software development and testing workflows [3]. No customer-facing AI products are shipping, but internal AI adoption is meaningful for operational efficiency. Market Share (2/2): Viking is the world's #1 river cruise line and the fastest-growing premium ocean cruise brand, achieving a 96% customer satisfaction score in 2024 post-cruise surveys [3]. The company has defined and dominates the cultural/educational cruise niche, differentiating from mass-market entertainment-focused competitors like Royal Caribbean and Carnival. Product Pipeline (2/2): Viking Libra (hydrogen-powered ocean ship) launching 2026, Viking Astrea (second hydrogen ship) in 2027. Fleet capacity growing 15% for 2027 season, with 2027 advance bookings of \.4B already 31% ahead of where 2026 stood at the same point — providing exceptional forward visibility [2]. R&amp;D Intensity (0/1): Cruise companies invest in ship design and sustainability technology but do not maintain traditional R&amp;D programs as a percentage of revenue.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Viking's vision of being the leading small-ship travel company focused on destination-rich, culturally enriching journeys is specific, thoughtful, and clearly differentiated from mass-market cruise competitors. Founder Torstein Hagen's philosophy of 'thinking like the passenger' has consistently shaped product decisions for 29 years — from including cultural lectures and local excursions to avoiding casinos and waterslides on Viking ships [3]. The mission directly drives strategic differentiation and is a genuine competitive advantage, though it has not been tested through the kind of existential crisis that would validate a true Just Cause at the highest level. Community Impact (0/2): No significant charitable foundation or community investment program was identified in search results. Viking focuses on cultural tourism and destination enrichment but lacks a distinctive giving initiative beyond standard corporate practices. Employee Retention (1/2): The 96% customer satisfaction score suggests well-trained and empowered frontline staff. The planned CEO transition from Hagen to Talactac was smooth, suggesting organizational health and succession planning. However, no specific employee tenure, turnover, or retention data was publicly available. Insider Buying (2/2): Torstein Hagen owns 53.4% of the company (economic stake) with 87% voting control and has publicly stated 'I personally have over half the shares in the company, and I'm not selling one share' [5]. This represents extraordinary insider conviction, with the founder maintaining a multi-billion-dollar personal stake. Recent minor sales by new CEO Talactac (%K) and CFO Banh (%K) are immaterial relative to the market cap.</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Q1 2026 delivered \.054B revenue (up 17.5% YoY) with Net Yield rising 9.5% to \96 per passenger cruise day and adjusted EBITDA improving 44% to M [2]. FY2025 revenue was \.50B (up 21.9%) with net income of \.15B — a 770% increase demonstrating rapid profitability scaling. ROE of 300% is exceptionally high, reflecting strong profitability on a low equity base typical of capital-intensive cruise companies with significant ship financing. D/E of 546% scores 0 on that metric — cruise ships are expensive assets financed primarily with debt — but profit margin of 18.0% nearly hits the 20% target and is exceptional for a cruise operator [4]. Forward P/E of 29.26 is above the 20 target but the PEG of 1.39 reflects reasonable valuation relative to the 27% EPS growth forecast. Revenue growth of approximately 20% YoY and strong 5-year CAGR from COVID recovery demonstrate robust top-line momentum. Free cash flow of \.3B provides investment capacity for fleet expansion.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16A34A"/>
          <w:sz w:val="22"/>
        </w:rPr>
        <w:t>INFINITE</w:t>
      </w:r>
      <w:r>
        <w:rPr>
          <w:rFonts w:ascii="Calibri" w:hAnsi="Calibri"/>
          <w:b w:val="0"/>
          <w:color w:val="6E8450"/>
          <w:sz w:val="22"/>
        </w:rPr>
        <w:t xml:space="preserve">      Overall: </w:t>
      </w:r>
      <w:r>
        <w:rPr>
          <w:rFonts w:ascii="Calibri" w:hAnsi="Calibri"/>
          <w:b/>
          <w:color w:val="16A34A"/>
          <w:sz w:val="28"/>
        </w:rPr>
        <w:t>9</w:t>
      </w:r>
      <w:r>
        <w:rPr>
          <w:rFonts w:ascii="Calibri" w:hAnsi="Calibri"/>
          <w:b w:val="0"/>
          <w:color w:val="9DAF88"/>
          <w:sz w:val="18"/>
        </w:rPr>
        <w:t xml:space="preserve"> /10</w:t>
      </w:r>
    </w:p>
    <w:p>
      <w:pPr>
        <w:spacing w:after="120"/>
      </w:pPr>
      <w:r>
        <w:rPr>
          <w:rFonts w:ascii="Calibri" w:hAnsi="Calibri"/>
          <w:b w:val="0"/>
          <w:color w:val="3A4A28"/>
          <w:sz w:val="18"/>
        </w:rPr>
        <w:t>Viking is a textbook infinite game player under Torstein Hagen's 29-year stewardship. The company has maintained a consistent purpose of culturally enriching travel since its 1997 founding, expanding from river cruises to ocean to expedition while never compromising on the educational, destination-focused brand positioning — even when entertainment-focused mass-market cruising is more immediately profitable. Hagen's 53.4% ownership stake and public refusal to sell shares demonstrate a founder who plays to keep playing, not to cash out. The planned succession to Leah Talactac ensures continuity. The hydrogen-powered ship program represents investment in a future that serves the cause rather than the quarter.</w:t>
      </w:r>
    </w:p>
    <w:p>
      <w:pPr>
        <w:spacing w:before="200" w:after="40"/>
      </w:pPr>
      <w:r>
        <w:rPr>
          <w:rFonts w:ascii="Calibri" w:hAnsi="Calibri"/>
          <w:b/>
          <w:color w:val="1A2010"/>
          <w:sz w:val="22"/>
        </w:rPr>
        <w:t>Just Cause</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(3/3): Torstein Hagen's vision of culturally enriching travel has been validated by 29 years of consistent execution across multiple platform expansions. The purpose — offering 'the thinking person's cruise' — has survived the company's growth from a small river cruise operator to a B public company without being diluted. Viking deliberately refuses casinos, waterslides, and entertainment-cruise trappings because they conflict with the cultural mission. The decision to invest in hydrogen-powered ships serves the cause of sustainable travel rather than short-term profitability. Hagen's 53.4% ownership and 'not selling one share' statement prove this is a cause he will sacrifice for. Sinek would cite Viking as a company where the Just Cause IS the competitive advantage — the purpose created a category and attracted a loyal customer base that drives 96% satisfaction and 31% year-ahead booking growth [2][5].</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Viking's 96% customer satisfaction score suggests frontline employees are well-trained, empowered, and motivated to deliver exceptional experiences [3]. The planned and smooth CEO succession from Hagen to Talactac demonstrates organizational maturity and trust in the next generation of leadership. However, no specific data on employee tenure, voluntary turnover, or internal culture practices is publicly available. Customer complaints about customer service inconsistency in post-cruise support suggest the trust extends unevenly across the organization.</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Viking's competitive positioning is the antithesis of finite-game thinking. Rather than competing with Royal Caribbean and Carnival on entertainment features, ship size, or price, Viking defined its own category — the 'thinking person's cruise' — and uses competitors' strengths as affirmation of its differentiated path. Viking's growth comes from expanding its addressable market (river + ocean + expedition + hydrogen) rather than taking share through direct competitive warfare. Management commentary consistently focuses on the Viking experience rather than competitor comparison.</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Viking has fundamentally transformed itself multiple times — from a pure river cruise company to adding ocean cruises (2015 launch, now 12 ships), expedition cruises (2022), and now hydrogen-powered zero-emission vessels (2026). Each expansion represented a major capital commitment and strategic bet that redefined the company's scope. The move into ocean cruises against established competitors like Royal Caribbean and Norwegian was particularly audacious for a river cruise company. The hydrogen ship program represents another transformative bet on the future of sustainable luxury travel. Each pivot was driven by the Just Cause of cultural enrichment through travel, not by desperation or market pressure.</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Hagen has repeatedly made costly long-term bets: entering the ocean cruise market against massive established competitors with billions in ship investment; maintaining the cultural/educational brand positioning when mass-market entertainment cruising generates higher per-passenger revenue; investing in hydrogen-powered ships (Viking Libra) ahead of regulatory requirements; and taking the company public while retaining 53.4% ownership and 87% voting control to maintain strategic independence [5]. The refusal to add casinos, waterslides, and entertainment features — revenue-generating amenities that competitors use — demonstrates choosing the cause over easy revenue. Hagen's 'not selling one share' commitment with a multi-billion-dollar personal stake is the ultimate act of leadership courage.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Viking Holdings is a rare combination of premium brand strength, operational excellence, and founder-aligned governance. Q1 2026 revenue grew 17.5% to \.054B with Net Yield up 9.5%, and FY2025 delivered \.50B revenue with \.15B net income (770% YoY increase), demonstrating rapid profitability scaling as the fleet expands [1][2]. The 2027 season is already 38% booked with advance bookings of \.4B — 31% ahead of the prior year's pace — providing exceptional forward revenue visibility. Torstein Hagen's 53.4% ownership stake with 87% voting control and public commitment to 'not selling one share' provides extraordinary alignment with minority shareholders [5]. The hydrogen-powered Viking Libra launching in 2026 positions Viking as the ESG leader in cruise travel, potentially commanding pricing premiums from environmentally conscious affluent travelers.</w:t>
      </w:r>
    </w:p>
    <w:p>
      <w:pPr>
        <w:spacing w:after="120"/>
      </w:pPr>
      <w:r>
        <w:rPr>
          <w:rFonts w:ascii="Calibri" w:hAnsi="Calibri"/>
          <w:b w:val="0"/>
          <w:color w:val="3A4A28"/>
          <w:sz w:val="20"/>
        </w:rPr>
        <w:t>The primary risk is Viking's capital-intensive business model with D/E of 546% reflecting the cost of financing a growing fleet of cruise ships. While cruise industry leverage is structurally high, the B market cap prices in significant growth that any consumer downturn, geopolitical disruption, or pandemic-like event could derail — as COVID demonstrated when cruise operators saw revenue collapse to near-zero [4]. The forward P/E of 29.26 is a premium for a cyclical consumer business, and the PEG of 1.39 suggests the stock is not cheap relative to growth. Viking reported a Q1 2026 net loss of M (seasonally weak quarter), reminding investors that profitability is seasonal and dependent on capacity utilization above 90%. Customer complaints about post-cruise customer service inconsistencies and refund/cancellation policies represent a brand risk for a company that charges premium prices. The CEO transition from founder Hagen to Talactac introduces succession risk, though Hagen remains Executive Chairman with controlling ownership.</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2027 season bookings 31% ahead of prior year pace with \.4B in advance bookings and 15% capacity growth, providing strong revenue visibility and pricing power for continued double-digit growth</w:t>
      </w:r>
    </w:p>
    <w:p>
      <w:pPr>
        <w:spacing w:before="40" w:after="40"/>
        <w:ind w:left="283"/>
      </w:pPr>
      <w:r>
        <w:rPr>
          <w:rFonts w:ascii="Calibri" w:hAnsi="Calibri"/>
          <w:b/>
          <w:color w:val="4A6B25"/>
          <w:sz w:val="20"/>
        </w:rPr>
        <w:t xml:space="preserve">2. </w:t>
      </w:r>
      <w:r>
        <w:rPr>
          <w:rFonts w:ascii="Calibri" w:hAnsi="Calibri"/>
          <w:b w:val="0"/>
          <w:color w:val="3A4A28"/>
          <w:sz w:val="20"/>
        </w:rPr>
        <w:t>Viking Libra hydrogen-powered cruise ship launch in 2026 positioning Viking as the sustainability leader in cruise travel, potentially commanding ESG-driven pricing premiums from affluent travelers</w:t>
      </w:r>
    </w:p>
    <w:p>
      <w:pPr>
        <w:spacing w:before="40" w:after="40"/>
        <w:ind w:left="283"/>
      </w:pPr>
      <w:r>
        <w:rPr>
          <w:rFonts w:ascii="Calibri" w:hAnsi="Calibri"/>
          <w:b/>
          <w:color w:val="4A6B25"/>
          <w:sz w:val="20"/>
        </w:rPr>
        <w:t xml:space="preserve">3. </w:t>
      </w:r>
      <w:r>
        <w:rPr>
          <w:rFonts w:ascii="Calibri" w:hAnsi="Calibri"/>
          <w:b w:val="0"/>
          <w:color w:val="3A4A28"/>
          <w:sz w:val="20"/>
        </w:rPr>
        <w:t>Profitability inflection as fleet expansion generates operating leverage, with profit margins approaching 20% and free cash flow of \.3B enabling further growth investment or shareholder returns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D/E of 546% reflects massive ship financing obligations that create interest rate sensitivity and vulnerability to any disruption in travel demand, as COVID demonstrated with cruise industry near-zero revenue</w:t>
      </w:r>
    </w:p>
    <w:p>
      <w:pPr>
        <w:spacing w:before="40" w:after="40"/>
        <w:ind w:left="283"/>
      </w:pPr>
      <w:r>
        <w:rPr>
          <w:rFonts w:ascii="Calibri" w:hAnsi="Calibri"/>
          <w:b/>
          <w:color w:val="4A6B25"/>
          <w:sz w:val="20"/>
        </w:rPr>
        <w:t xml:space="preserve">2. </w:t>
      </w:r>
      <w:r>
        <w:rPr>
          <w:rFonts w:ascii="Calibri" w:hAnsi="Calibri"/>
          <w:b w:val="0"/>
          <w:color w:val="3A4A28"/>
          <w:sz w:val="20"/>
        </w:rPr>
        <w:t>Forward P/E of 29.26 prices in sustained double-digit growth for a cyclical consumer business exposed to macroeconomic downturns, geopolitical events, and fuel cost volatility</w:t>
      </w:r>
    </w:p>
    <w:p>
      <w:pPr>
        <w:spacing w:before="40" w:after="40"/>
        <w:ind w:left="283"/>
      </w:pPr>
      <w:r>
        <w:rPr>
          <w:rFonts w:ascii="Calibri" w:hAnsi="Calibri"/>
          <w:b/>
          <w:color w:val="4A6B25"/>
          <w:sz w:val="20"/>
        </w:rPr>
        <w:t xml:space="preserve">3. </w:t>
      </w:r>
      <w:r>
        <w:rPr>
          <w:rFonts w:ascii="Calibri" w:hAnsi="Calibri"/>
          <w:b w:val="0"/>
          <w:color w:val="3A4A28"/>
          <w:sz w:val="20"/>
        </w:rPr>
        <w:t>CEO transition from visionary founder Torstein Hagen to operational successor Leah Talactac introduces succession risk for a company whose brand and strategy have been inseparable from its founder for 29 years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Viking's core business — operating physical cruise ships that transport passengers to destinations for culturally enriching experiences — is structurally immune to AI disruption. The product is an in-person, experiential service involving physical ships, hospitality staff, destination excursions, and human connection that AI fundamentally cannot replicate [1]. Cruise ships are tangible assets requiring maritime operations, regulatory compliance, port logistics, and real-world hospitality that exist entirely outside the digital domain. Viking's target demographic (affluent, educated, 55+ travelers) values the human and cultural aspects of travel that AI cannot substitute. The only minor exposure is that AI-powered virtual travel experiences could theoretically reduce some demand for physical travel, but this risk is negligible for Viking's premium demographic who travel for the in-person experience. AI-driven travel planning tools could disrupt travel agencies, but Viking's direct-to-consumer model is already dominant. AI Opportunity (0/1): Viking uses AI internally for chatbots, talent acquisition, and operational optimization, but does not generate revenue from AI products or services. The AI deployment is purely operational.</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Viking Holdings FY2025 Annual Results — Revenue of \.50B, Net Income \.15B, StockAnalysis/Yahoo Finance, 2026</w:t>
      </w:r>
    </w:p>
    <w:p>
      <w:pPr>
        <w:spacing w:before="20" w:after="20"/>
        <w:ind w:left="170"/>
      </w:pPr>
      <w:r>
        <w:rPr>
          <w:rFonts w:ascii="Calibri" w:hAnsi="Calibri"/>
          <w:b/>
          <w:color w:val="4A6B25"/>
          <w:sz w:val="15"/>
        </w:rPr>
        <w:t xml:space="preserve">2. </w:t>
      </w:r>
      <w:r>
        <w:rPr>
          <w:rFonts w:ascii="Calibri" w:hAnsi="Calibri"/>
          <w:b w:val="0"/>
          <w:color w:val="3A4A28"/>
          <w:sz w:val="17"/>
        </w:rPr>
        <w:t>Viking Holdings Q1 2026 Earnings — \.054B Revenue, 2027 Bookings 31% Ahead, TIKR/StockTitan, May 2026</w:t>
      </w:r>
    </w:p>
    <w:p>
      <w:pPr>
        <w:spacing w:before="20" w:after="20"/>
        <w:ind w:left="170"/>
      </w:pPr>
      <w:r>
        <w:rPr>
          <w:rFonts w:ascii="Calibri" w:hAnsi="Calibri"/>
          <w:b/>
          <w:color w:val="4A6B25"/>
          <w:sz w:val="15"/>
        </w:rPr>
        <w:t xml:space="preserve">3. </w:t>
      </w:r>
      <w:r>
        <w:rPr>
          <w:rFonts w:ascii="Calibri" w:hAnsi="Calibri"/>
          <w:b w:val="0"/>
          <w:color w:val="3A4A28"/>
          <w:sz w:val="17"/>
        </w:rPr>
        <w:t>Viking Sustainability and Leadership — Forbes, Sustainability Magazine, Comparably, 2025-2026</w:t>
      </w:r>
    </w:p>
    <w:p>
      <w:pPr>
        <w:spacing w:before="20" w:after="20"/>
        <w:ind w:left="170"/>
      </w:pPr>
      <w:r>
        <w:rPr>
          <w:rFonts w:ascii="Calibri" w:hAnsi="Calibri"/>
          <w:b/>
          <w:color w:val="4A6B25"/>
          <w:sz w:val="15"/>
        </w:rPr>
        <w:t xml:space="preserve">4. </w:t>
      </w:r>
      <w:r>
        <w:rPr>
          <w:rFonts w:ascii="Calibri" w:hAnsi="Calibri"/>
          <w:b w:val="0"/>
          <w:color w:val="3A4A28"/>
          <w:sz w:val="17"/>
        </w:rPr>
        <w:t>StockAnalysis.com — VIK Key Statistics and Financial Ratios, accessed July 2026</w:t>
      </w:r>
    </w:p>
    <w:p>
      <w:pPr>
        <w:spacing w:before="20" w:after="20"/>
        <w:ind w:left="170"/>
      </w:pPr>
      <w:r>
        <w:rPr>
          <w:rFonts w:ascii="Calibri" w:hAnsi="Calibri"/>
          <w:b/>
          <w:color w:val="4A6B25"/>
          <w:sz w:val="15"/>
        </w:rPr>
        <w:t xml:space="preserve">5. </w:t>
      </w:r>
      <w:r>
        <w:rPr>
          <w:rFonts w:ascii="Calibri" w:hAnsi="Calibri"/>
          <w:b w:val="0"/>
          <w:color w:val="3A4A28"/>
          <w:sz w:val="17"/>
        </w:rPr>
        <w:t>Viking Holdings Insider Ownership — Torstein Hagen 53.4% Stake, StockTitan/TipRanks SEC Filings,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