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VITL</w:t>
      </w:r>
      <w:r>
        <w:rPr>
          <w:rFonts w:ascii="Calibri" w:hAnsi="Calibri"/>
          <w:b/>
          <w:color w:val="1A2010"/>
          <w:sz w:val="40"/>
        </w:rPr>
        <w:t xml:space="preserve">  Vital Farms,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2026-07-18 · Inspire: 66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71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Consumer Defensive · Farm Products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Vital Farms is a Certified B Corp and the leading U.S. brand for pasture-raised eggs, sourcing from over 350 small family farms across the United States under its ethical 'bullseye' pasture-raised standards. The company is building the Vital Crossroads facility in Seymour, Indiana to support long-term capacity toward a $2 billion 2030 net revenue target, and in 2026 announced it will wind down its butter business to refocus resources on its core egg franchise.</w:t>
      </w:r>
    </w:p>
    <w:p>
      <w:r>
        <w:rPr>
          <w:rFonts w:ascii="Calibri" w:hAnsi="Calibri"/>
          <w:b/>
          <w:color w:val="6E8450"/>
          <w:sz w:val="18"/>
        </w:rPr>
        <w:t>739 Employees · https://vitalfarms.com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Vital Farms grew net revenue from $260.9M (FY2021) to $759.4M (FY2025, +25.3% YoY), surpassing $100M Adjusted EBITDA for the first time and establishing clear category leadership in premium eggs [1]. However, the company is simultaneously retreating from its butter diversification, undercutting the case for a fully transformative pivot. AI Deployment (0/2): No evidence of AI-powered products or quantified AI-driven cost savings; the business is fundamentally agricultural sourcing and physical distribution [3]. Market Share (2/2): Vital Farms is the dominant U.S. pasture-raised egg brand with category-defining share, tripling revenue since 2021 while maintaining premium pricing [1]. Product Pipeline (1/2): The Vital Crossroads facility provides named capacity visibility toward the $2B 2030 target, but management just cut FY2026 guidance from $900-920M to $775-800M (only ~5% growth) citing industry oversupply and price compression, weakening confidence in near-term pipeline execution [1]. R&amp;D Intensity (0/1): Minimal formal R&amp;D spend as a food/agriculture company; innovation is in supply chain and branding, not technology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(3/4): Vital Farms' purpose — 'to improve the lives of people, animals and the planet through food' — is specific and thoughtful, structurally embedded via Certified B Corp status and reinforced by CEO Russell Diez-Canseco's leadership under the Conscious Capitalism framework [2]. Community Impact (2/2): The company sources from 350+ small family farms, directly sustaining rural farming livelihoods, and publishes annual Impact Reports quantifying its B Corp commitments [4]. Employee Retention (1/2): Glassdoor rating of 4.0/5.0 with 69% recommending the company reflects solid but not exceptional culture data; no standout tenure/turnover figures were found [3]. Insider Buying (0/2): Net insider activity skews toward selling — outgoing Executive Chairperson Matt O'Hayer sold roughly $1.35M in shares across two March 2026 transactions around his board retirement, while CEO Diez-Canseco's only purchase was a small ESPP acquisition (~$3,600) and other directors bought modest amounts (~$8-8.40/share) in May 2026 [5].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Mechanically scored as a Growth-sleeve stock (PEG unavailable, excluded from weighting). D/E of 12.0% is far below the 70% target, reflecting a clean balance sheet. ROE of 14.03% is just under the 15% target. Revenue growth remains strong on a trailing basis (YoY +25.3%, 5yr CAGR +30.6%, both well above the 10% target), though forward growth has decelerated sharply per the FY2026 guidance cut. Forward P/E of 11.85 comfortably clears the 20x target. Profit margin of 8.73% is well below the 20% ideal but reasonable for a scaling food manufacturer [6][7]. Liquidity floor easily cleared: $13.55 x 1,374,789 avg daily volume = $18.6M.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Vital Farms exemplifies real infinite game thinking — a genuine, B Corp-embedded Just Cause, continued capital investment in Vital Crossroads through a 60%+ stock decline, and a willingness to exit the butter business rather than chase revenue that diluted focus. The mission has not yet been tested by a true multi-decade crisis, and the abrupt FY2026 guidance cut raises questions about whether growth-at-all-costs pressures are creeping into decision-making.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Just Cause (2/3): Vital Farms' cause — improving lives of people, animals, and the planet through food — is genuine and structurally embedded via Certified B Corp status, validated by 350+ farm partnerships and consistent execution since Diez-Canseco became CEO in 2014 [2]. Leadership references the mission in strategic decisions (e.g., exiting butter to refocus on the core ethical egg franchise), but the cause has not yet been tested through a true multi-decade crisis to earn the top score.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Trusting Teams (1/2): Glassdoor rating of 4.0/5.0 with 69% recommending the company and a decade-plus of CEO stability suggest an adequate, above-average trust environment, though the figures are not exceptional enough to indicate a standout high-trust culture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Worthy Rivals (1/1): Vital Farms frames its competitive position around growing the pasture-raised category and converting conventional egg consumers rather than attacking rivals like Pete and Gerry's or Happy Egg Co., consistent with an infinite competitive mindset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Existential Flexibility (1/2): The company expanded into butter and other pasture-raised products and is making a $140-150M capital bet on Vital Crossroads, but the 2026 decision to wind the butter business back down shows this remains incremental category extension rather than a transformative reinvention of the business model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Courage to Lead (2/2): Management continued the $140-150M Vital Crossroads capex investment and posted negative free cash flow even as the stock fell more than 60% from its highs, prioritizing long-term capacity over near-term optics, and made the disciplined call to exit the butter business rather than protect a diversification narrative [1]. This pattern of two distinct costly, principled decisions demonstrates a genuine pattern of courage.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Vital Farms remains the dominant U.S. pasture-raised egg brand, having tripled net revenue from $260.9M (FY2021) to $759.4M (FY2025, +25.3%) and crossing $100M Adjusted EBITDA for the first time, with a clean balance sheet (12% D/E, 14% ROE) and an undemanding 11.85x forward P/E [1][6]. The Certified B Corp structure, 350+ family farm partnerships, and CEO Diez-Canseco's decade-plus tenure under the Conscious Capitalism framework validate a genuinely purpose-driven business, and the decision to exit the lower-focus butter business in favor of the core egg franchise shows discipline rather than growth-chasing.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a sharp deceleration and margin risk: management slashed FY2026 guidance from $900-920M to just $775-800M (roughly 5% growth) and cut Adjusted EBITDA guidance to $0-10M, citing industry-wide egg oversupply and price compression that has already produced a 60%+ stock decline [1]. The Vital Crossroads capex ($140-150M) is consuming free cash flow at the same time growth is stalling, and a PETA-backed greenwashing class-action lawsuit challenging Vital Farms' 'certified humane' and 'pasture-raised' marketing claims was allowed to proceed by a Texas federal court, threatening the premium brand credibility the entire pricing model depends on [4]. Outgoing Executive Chairperson Matt O'Hayer's ~$1.35M in share sales around his board retirement adds a modest insider-sentiment overhang.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Vital Crossroads facility completion providing long-term capacity toward the $2B 2030 net revenue target, de-risking the growth trajectory once industry oversupply normalizes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Focus discipline from exiting the butter business, redirecting management attention and capital to the core pasture-raised egg franchise where Vital Farms holds category leadership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Undemanding 11.85x forward P/E and 12x trailing P/E create room for multiple re-rating if margin pressure proves transitory as egg industry supply rebalances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FY2026 guidance cut from $900-920M to $775-800M (from ~20% growth to ~5%) with Adjusted EBITDA guidance slashed to $0-10M signals a sharp, unplanned deceleration driven by industry-wide egg oversupply and price compression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PETA-backed greenwashing class-action lawsuit challenging 'certified humane' and 'pasture-raised' marketing claims, allowed to proceed in Texas federal court, threatens the premium brand positioning that underpins Vital Farms' entire pricing power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Negative free cash flow from the $140-150M Vital Crossroads investment during a period of margin compression increases execution risk if the growth slowdown persists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Vital Farms' core business — sourcing pasture-raised eggs from 350+ small family farms, managing physical cold-chain logistics, and building brand trust around animal welfare — is structurally immune to AI substitution; no analyst commentary was found flagging AI as a threat to the business [1][3]. The premium brand is built on physical-world practices (farm relationships, humane certifications) with no digital substitute, though AI-generated marketing content is a minor emerging consideration for the broader CPG sector. AI Opportunity (0/1): No evidence of meaningful AI revenue contribution; the company does not sell AI products, though AI-driven supply chain forecasting tools are increasingly available to food producers generally [3].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66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Business Resilience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Employee Wellbeing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Labor Practices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Human Rights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Low Ecological Impact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Materials Efficiency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Regulatory Adherence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Waste and Hazmat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Water Conservation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Vital Farms Q4/FY2025 and Q1 2026 Earnings Releases and FY2026 Guidance Revision — SEC 8-K filings, investors.vitalfarms.com, February-May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Vital Farms Leadership and Conscious Capitalism Coverage — Conscious Capitalism Inc., Vital Farms Leadership Team,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Glassdoor — Vital Farms reviews (4.0/5.0 rating),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PETA/Food Dive and Today's General Counsel — Greenwashing class-action lawsuit coverage,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StockTitan — Vital Farms Form 4 insider trading activity (O'Hayer board retirement sales, director and CEO purchases),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6. </w:t>
      </w:r>
      <w:r>
        <w:rPr>
          <w:rFonts w:ascii="Calibri" w:hAnsi="Calibri"/>
          <w:b w:val="0"/>
          <w:color w:val="3A4A28"/>
          <w:sz w:val="17"/>
        </w:rPr>
        <w:t>stockanalysis.com — VITL financial ratios, 5-year financials, and key statistics, accessed July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7. </w:t>
      </w:r>
      <w:r>
        <w:rPr>
          <w:rFonts w:ascii="Calibri" w:hAnsi="Calibri"/>
          <w:b w:val="0"/>
          <w:color w:val="3A4A28"/>
          <w:sz w:val="17"/>
        </w:rPr>
        <w:t>Nasdaq — VITL forward P/E and PEG ratio data, accessed July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