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VKTX</w:t>
      </w:r>
      <w:r>
        <w:rPr>
          <w:rFonts w:ascii="Calibri" w:hAnsi="Calibri"/>
          <w:b/>
          <w:color w:val="1A2010"/>
          <w:sz w:val="40"/>
        </w:rPr>
        <w:t xml:space="preserve">  Viking Therapeutics, Inc.</w:t>
      </w:r>
    </w:p>
    <w:p>
      <w:pPr>
        <w:spacing w:after="120"/>
      </w:pPr>
      <w:r>
        <w:rPr>
          <w:rFonts w:ascii="Calibri" w:hAnsi="Calibri"/>
          <w:b/>
          <w:color w:val="6E8450"/>
          <w:sz w:val="18"/>
        </w:rPr>
        <w:t>GROWTH SLEEVE · 2026-07-10 · Inspire: 25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Viking Therapeutics, Inc. is a clinical-stage biopharmaceutical company focused on developing novel therapies for metabolic and endocrine disorders. The lead program VK2735, a dual GLP-1/GIP receptor agonist for obesity, has fully enrolled Phase 3 VANQUISH clinical trials with data expected in 2027. Additional programs include VK2809 (THR-beta agonist for NASH) and VK3019 (dual amylin/calcitonin receptor agonist entering Phase 1 in June 2026). Founded in 2012, headquartered in San Diego, California, with a $4.6B market capitalization.</w:t>
      </w:r>
    </w:p>
    <w:p>
      <w:r>
        <w:rPr>
          <w:rFonts w:ascii="Calibri" w:hAnsi="Calibri"/>
          <w:b/>
          <w:color w:val="6E8450"/>
          <w:sz w:val="18"/>
        </w:rPr>
        <w:t>80 Employees · https://vikingtherapeutics.com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Viking has advanced VK2735 from preclinical through Phase 3 in the highly competitive obesity space, with VANQUISH-1 and VANQUISH-2 trials fully enrolled, and simultaneously progressed VK2809 for NASH and initiated VK3019 Phase 1 in June 2026 [1][3]. The company has demonstrated the ability to generate compelling clinical data (Phase 2 VK2735 results drove the stock from $10 to $40+) and manage multiple pipeline programs with a lean organization. AI Deployment (0/2): No evidence of AI deployment in drug discovery or development; Viking relies on traditional clinical development approaches. Market Share (0/2): Pre-revenue clinical-stage company with no approved products and zero market share; VK2735 has not yet reached the market to compete with Novo Nordisk (Wegovy/Ozempic) and Eli Lilly (Mounjaro/Zepbound) [4]. Product Pipeline (2/2): Three distinct programs with specific timelines — VK2735 subcutaneous Phase 3 fully enrolled (data expected 2027), oral VK2735 formulation advancing to Phase 3 in late 2026, and VK3019 Phase 1 initiated June 2026 with the stock jumping 26% on the announcement [1][3]. R&amp;D Intensity (1/1): As a pre-revenue biotech, 100% of spending is R&amp;D, far exceeding industry averages on a percentage basis.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Viking's purpose of developing therapies for metabolic and endocrine disorders clearly identifies the therapeutic focus and patient population, but it is standard pharmaceutical language that is interchangeable with dozens of biotech peers and does not articulate a unique or transformative vision for the future [4]. Community Impact (0/2): No evidence of charitable programs, community investment, or philanthropic initiatives; the company's approximately 80 employees are focused entirely on clinical development. Employee Retention (0/2): CEO Brian Lian, Ph.D. has led the company since its founding in 2012 (14 years), providing exceptional leadership continuity, but no broader employee retention data, tenure metrics, or cultural indicators are available for the small team [4]. Insider Buying (0/2): Insiders executed 12 stock sale transactions totaling $11.5M in January 2026, and insiders have only sold shares in the past 3 months, with no open-market purchases identified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pre-revenue clinical-stage biotech, most financial metrics score at the floor or are unavailable. Viking has $603M in cash as of Q1 2026, providing approximately 2+ years of runway at the current burn rate, and maintains a clean balance sheet with minimal debt [1]. The Q1 2026 net loss widened to -$1.37 per share (vs. estimate of -$1.03), driven by escalating R&amp;D expenses as Phase 3 trials ramp. Revenue growth, forward PE, and PEG metrics are excluded as unavailable for a pre-revenue company. Profit margin is negative and ROE is negative. The only positive metric is near-zero D/E, which cannot offset the absence of revenue or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Viking operates with a genuine therapeutic purpose and has demonstrated remarkable persistence through 14 years of pre-revenue clinical development under founder-CEO Brian Lian. The strategic pivot from NASH to obesity as the primary program reflects flexibility. However, the company's small size, short institutional history, and standard biotech positioning limit its infinite game credentials in Sinek's framework.</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Viking's purpose of developing therapies for metabolic and endocrine disorders is a genuine but standard biotech mission. It identifies the patient population and therapeutic area but does not articulate a distinctive vision of a future state that inspires sacrifice [4]. The company's competitive positioning is primarily about generating superior clinical data (better weight loss, fewer side effects) rather than advancing a cause, which Sinek would view as a finite framing focused on measurable outcomes rather than an infinite aspiration.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Brian Lian has led Viking since its 2012 founding, providing 14 years of leadership continuity that is exceptional for a clinical-stage biotech and suggests a stable organizational environment [4]. The lean team of approximately 80 employees likely benefits from close-knit dynamics typical of small biotechs. However, no specific evidence of employee empowerment, psychological safety, or cultural practices is available, and Glassdoor data for Viking Therapeutics specifically is insufficient to evaluate.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Viking's competitive approach toward Novo Nordisk and Eli Lilly suggests an infinite mindset — rather than trying to beat these pharma giants with superior marketing or distribution, Viking aims to develop a differentiated product with potentially better weight loss efficacy, oral formulation options, and a dual amylin program (VK3019) that expands the metabolic toolkit. The company uses competitors' strengths as motivation to improve its own science [4].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Viking strategically elevated VK2735 (obesity/GLP-1) above VK2809 (NASH) as the lead program, recognizing that the obesity market opportunity was significantly larger and more commercially viable. This represents a meaningful reallocation of resources and strategic focus. The initiation of VK3019 (dual amylin/calcitonin) in June 2026 adds a third therapeutic modality, showing willingness to evolve [3]. However, these are incremental adaptations within the same metabolic disease space, not transformative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Brian Lian has led Viking through 14 years of pre-revenue clinical development, navigating the high-risk, high-uncertainty path of building a standalone biotech rather than licensing assets to a larger pharma company [4]. The decision to pursue Phase 3 trials independently for VK2735, competing directly against Novo Nordisk and Eli Lilly in obesity, demonstrates genuine courage. However, the company's $603M cash position and pre-revenue status mean this courage has been primarily funded by dilution rather than tested through the sacrifice of profitable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Viking Therapeutics represents an asymmetric growth opportunity in the $100B+ obesity therapeutics market with VK2735 Phase 3 trials fully enrolled and data expected in 2027, a differentiated oral formulation advancing to Phase 3, and a new VK3019 amylin program providing pipeline diversification [1][3]. At $4.6B market cap with $603M cash, the stock trades at a significant discount to the potential commercial value if VK2735 achieves comparable efficacy to Wegovy/Mounjaro with a differentiated profile. Wall Street analysts project up to 188% upside, and the company's lean operational structure (80 employees) maximizes capital efficiency [4].</w:t>
      </w:r>
    </w:p>
    <w:p>
      <w:pPr>
        <w:spacing w:after="120"/>
      </w:pPr>
      <w:r>
        <w:rPr>
          <w:rFonts w:ascii="Calibri" w:hAnsi="Calibri"/>
          <w:b w:val="0"/>
          <w:color w:val="3A4A28"/>
          <w:sz w:val="20"/>
        </w:rPr>
        <w:t>The bear case centers on the fundamental binary risk of clinical-stage biotechs — VK2735 Phase 3 results could disappoint on efficacy, safety, or tolerability, destroying a significant portion of the market cap in a single data readout [4]. The Q1 2026 net loss widened to -$1.37 per share (vs. estimate of -$1.03), and total 2025 losses of -$360M are accelerating as Phase 3 trials burn cash. The $603M cash position provides only 2+ years of runway, and additional dilution is likely before potential commercialization. Viking faces the 'David vs. Goliath' challenge of commercializing against Novo Nordisk (Wegovy: $20B+ revenue) and Eli Lilly (Zepbound) with no existing sales infrastructure, marketing capabilities, or payer relationships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VK2735 subcutaneous Phase 3 VANQUISH trial data readout expected in 2027, potentially validating superiority in weight loss or tolerability vs. existing GLP-1 agonists and triggering FDA submission</w:t>
      </w:r>
    </w:p>
    <w:p>
      <w:pPr>
        <w:spacing w:before="40" w:after="40"/>
        <w:ind w:left="283"/>
      </w:pPr>
      <w:r>
        <w:rPr>
          <w:rFonts w:ascii="Calibri" w:hAnsi="Calibri"/>
          <w:b/>
          <w:color w:val="4A6B25"/>
          <w:sz w:val="20"/>
        </w:rPr>
        <w:t xml:space="preserve">2. </w:t>
      </w:r>
      <w:r>
        <w:rPr>
          <w:rFonts w:ascii="Calibri" w:hAnsi="Calibri"/>
          <w:b w:val="0"/>
          <w:color w:val="3A4A28"/>
          <w:sz w:val="20"/>
        </w:rPr>
        <w:t>Oral VK2735 formulation advancing to Phase 3 in late 2026, addressing the large patient population that prefers pills over injections and differentiating from Novo Nordisk's injectable-dominant portfolio</w:t>
      </w:r>
    </w:p>
    <w:p>
      <w:pPr>
        <w:spacing w:before="40" w:after="40"/>
        <w:ind w:left="283"/>
      </w:pPr>
      <w:r>
        <w:rPr>
          <w:rFonts w:ascii="Calibri" w:hAnsi="Calibri"/>
          <w:b/>
          <w:color w:val="4A6B25"/>
          <w:sz w:val="20"/>
        </w:rPr>
        <w:t xml:space="preserve">3. </w:t>
      </w:r>
      <w:r>
        <w:rPr>
          <w:rFonts w:ascii="Calibri" w:hAnsi="Calibri"/>
          <w:b w:val="0"/>
          <w:color w:val="3A4A28"/>
          <w:sz w:val="20"/>
        </w:rPr>
        <w:t>VK3019 (dual amylin/calcitonin receptor agonist) Phase 1 initiated June 2026, adding a novel mechanism of action that could provide a next-generation obesity therapy if GLP-1 competition intensifies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Phase 3 risk: VK2735 VANQUISH data readout could disappoint on efficacy, safety, or tolerability, with negative results potentially destroying 50-70% of the current $4.6B market capitalization</w:t>
      </w:r>
    </w:p>
    <w:p>
      <w:pPr>
        <w:spacing w:before="40" w:after="40"/>
        <w:ind w:left="283"/>
      </w:pPr>
      <w:r>
        <w:rPr>
          <w:rFonts w:ascii="Calibri" w:hAnsi="Calibri"/>
          <w:b/>
          <w:color w:val="4A6B25"/>
          <w:sz w:val="20"/>
        </w:rPr>
        <w:t xml:space="preserve">2. </w:t>
      </w:r>
      <w:r>
        <w:rPr>
          <w:rFonts w:ascii="Calibri" w:hAnsi="Calibri"/>
          <w:b w:val="0"/>
          <w:color w:val="3A4A28"/>
          <w:sz w:val="20"/>
        </w:rPr>
        <w:t>Cash burn acceleration with Q1 2026 loss of -$1.37/share implies the company will require additional capital raises before potential commercialization, diluting existing shareholders at an unknown valuation</w:t>
      </w:r>
    </w:p>
    <w:p>
      <w:pPr>
        <w:spacing w:before="40" w:after="40"/>
        <w:ind w:left="283"/>
      </w:pPr>
      <w:r>
        <w:rPr>
          <w:rFonts w:ascii="Calibri" w:hAnsi="Calibri"/>
          <w:b/>
          <w:color w:val="4A6B25"/>
          <w:sz w:val="20"/>
        </w:rPr>
        <w:t xml:space="preserve">3. </w:t>
      </w:r>
      <w:r>
        <w:rPr>
          <w:rFonts w:ascii="Calibri" w:hAnsi="Calibri"/>
          <w:b w:val="0"/>
          <w:color w:val="3A4A28"/>
          <w:sz w:val="20"/>
        </w:rPr>
        <w:t>Commercialization gap: Viking has zero sales infrastructure, marketing capabilities, or payer relationships needed to compete against Novo Nordisk and Eli Lilly, likely requiring either a pharma partnership (giving up economics) or expensive commercial build-out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Clinical-stage drug development has deep structural protection from AI disruption. VK2735's clinical trial data is proprietary, the biological mechanism of GLP-1/GIP receptor agonism cannot be replicated by AI, and FDA regulatory approval processes require years of human-subject clinical evidence that AI cannot shortcut [4]. The physical act of manufacturing and distributing injectable therapeutics is inherently non-digitizable. However, AI is accelerating competitor drug discovery timelines, and companies like Novo Nordisk and Eli Lilly with larger AI-integrated R&amp;D platforms could discover next-generation obesity drugs faster, compressing Viking's competitive window [4]. AI Opportunity (0/1): Viking does not use AI for drug discovery as a core strategy and generates no AI-related revenue. The company relies on traditional medicinal chemistry and clinical development approaches.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Viking Therapeutics Q1 2026 Financial Results and VANQUISH Trial Enrollment Completion — stocktitan.net, May 2026</w:t>
      </w:r>
    </w:p>
    <w:p>
      <w:pPr>
        <w:spacing w:before="20" w:after="20"/>
        <w:ind w:left="170"/>
      </w:pPr>
      <w:r>
        <w:rPr>
          <w:rFonts w:ascii="Calibri" w:hAnsi="Calibri"/>
          <w:b/>
          <w:color w:val="4A6B25"/>
          <w:sz w:val="15"/>
        </w:rPr>
        <w:t xml:space="preserve">2. </w:t>
      </w:r>
      <w:r>
        <w:rPr>
          <w:rFonts w:ascii="Calibri" w:hAnsi="Calibri"/>
          <w:b w:val="0"/>
          <w:color w:val="3A4A28"/>
          <w:sz w:val="17"/>
        </w:rPr>
        <w:t>Viking Therapeutics Phase 3 VANQUISH-1 and VANQUISH-2 Trial Updates — vikingtherapeutics.com, 2026</w:t>
      </w:r>
    </w:p>
    <w:p>
      <w:pPr>
        <w:spacing w:before="20" w:after="20"/>
        <w:ind w:left="170"/>
      </w:pPr>
      <w:r>
        <w:rPr>
          <w:rFonts w:ascii="Calibri" w:hAnsi="Calibri"/>
          <w:b/>
          <w:color w:val="4A6B25"/>
          <w:sz w:val="15"/>
        </w:rPr>
        <w:t xml:space="preserve">3. </w:t>
      </w:r>
      <w:r>
        <w:rPr>
          <w:rFonts w:ascii="Calibri" w:hAnsi="Calibri"/>
          <w:b w:val="0"/>
          <w:color w:val="3A4A28"/>
          <w:sz w:val="17"/>
        </w:rPr>
        <w:t>Viking Therapeutics VK3019 Phase 1 Initiation and Pipeline Overview — Yahoo Finance, June 2026</w:t>
      </w:r>
    </w:p>
    <w:p>
      <w:pPr>
        <w:spacing w:before="20" w:after="20"/>
        <w:ind w:left="170"/>
      </w:pPr>
      <w:r>
        <w:rPr>
          <w:rFonts w:ascii="Calibri" w:hAnsi="Calibri"/>
          <w:b/>
          <w:color w:val="4A6B25"/>
          <w:sz w:val="15"/>
        </w:rPr>
        <w:t xml:space="preserve">4. </w:t>
      </w:r>
      <w:r>
        <w:rPr>
          <w:rFonts w:ascii="Calibri" w:hAnsi="Calibri"/>
          <w:b w:val="0"/>
          <w:color w:val="3A4A28"/>
          <w:sz w:val="17"/>
        </w:rPr>
        <w:t>Motley Fool / Seeking Alpha — Viking Therapeutics Bull Case and Competitive Analysis, 2026</w:t>
      </w:r>
    </w:p>
    <w:p>
      <w:pPr>
        <w:spacing w:before="20" w:after="20"/>
        <w:ind w:left="170"/>
      </w:pPr>
      <w:r>
        <w:rPr>
          <w:rFonts w:ascii="Calibri" w:hAnsi="Calibri"/>
          <w:b/>
          <w:color w:val="4A6B25"/>
          <w:sz w:val="15"/>
        </w:rPr>
        <w:t xml:space="preserve">5. </w:t>
      </w:r>
      <w:r>
        <w:rPr>
          <w:rFonts w:ascii="Calibri" w:hAnsi="Calibri"/>
          <w:b w:val="0"/>
          <w:color w:val="3A4A28"/>
          <w:sz w:val="17"/>
        </w:rPr>
        <w:t>MarketBeat — VKTX Insider Trading Activity and Stock Analysis,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