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VNO</w:t>
      </w:r>
      <w:r>
        <w:rPr>
          <w:rFonts w:ascii="Calibri" w:hAnsi="Calibri"/>
          <w:b/>
          <w:color w:val="1A2010"/>
          <w:sz w:val="40"/>
        </w:rPr>
        <w:t xml:space="preserve">  Vornado Realty Trust</w:t>
      </w:r>
    </w:p>
    <w:p>
      <w:pPr>
        <w:spacing w:after="120"/>
      </w:pPr>
      <w:r>
        <w:rPr>
          <w:rFonts w:ascii="Calibri" w:hAnsi="Calibri"/>
          <w:b/>
          <w:color w:val="6E8450"/>
          <w:sz w:val="18"/>
        </w:rPr>
        <w:t>GROWTH SLEEVE · 2026-07-18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Vornado Realty Trust is a fully integrated REIT with a premier New York City office, retail, and multifamily portfolio, anchored by the $2.5 billion PENN District redevelopment on Manhattan's West Side. The company also owns flagship properties in Chicago (THE MART) and San Francisco (555 California Street). Steven Roth has served as Chairman and CEO since 1980, and 95% of the office portfolio is LEED certified.</w:t>
      </w:r>
    </w:p>
    <w:p>
      <w:r>
        <w:rPr>
          <w:rFonts w:ascii="Calibri" w:hAnsi="Calibri"/>
          <w:b/>
          <w:color w:val="6E8450"/>
          <w:sz w:val="18"/>
        </w:rPr>
        <w:t>3,145 Employees · https://www.vno.com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Vornado's PENN District redevelopment continues to progress, and management is now opportunistically deploying capital into a 49% stake in a 1.2M sq ft, 99%-occupied office building acquired at $950/sf — 65-70% below replacement cost with an 8% GAAP yield, projected to add ~$0.10/share on a full run-rate basis [1]. This is meaningful capital allocation skill but not a transformation of the core office-REIT business model. AI Deployment (0/2): No evidence of AI-powered products or quantified AI-driven operational savings; leasing and property management remain conventional [2]. Market Share (1/2): Vornado is a meaningful, premium player in NYC office space competing with SL Green and Brookfield, but not the outright category leader [2]. Product Pipeline (2/2): Management cited $200M+ of currently unrecognized PENN District rent expected to convert into earnings by 2027, Manhattan mark-to-market of +11.7% GAAP/+9.7% cash on new leases, and the newly acquired building's specific $0.10/share run-rate contribution [1]. R&amp;D Intensity (1/1): For a REIT, Vornado invests meaningfully in sustainability — 95% of the office portfolio LEED certified with over 23M sq ft at LEED Gold or Platinum, and a top-tier GRESB score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Vornado's identity centers on owning and developing 'premier' real estate assets in gateway cities, which is clear but describes quality positioning rather than a deeper purpose or vision of a better future. Community Impact (1/2): Vornado's Vision 2030 sustainability roadmap, board-level ESG steering committee, and submetering of ~95% of tenant spaces for energy transparency represent genuine investment beyond the minimum, though not a distinctive flagship program [3]. Employee Retention (0/2): With only 3,145 employees, no specific tenure or turnover data is publicly available to support a retention claim. Insider Buying (2/2): Director Daniel Tisch made repeated, substantial open-market purchases in Q1 2026 — 25,000 shares at $27.85, 155,000 shares at $26.30-$27.70, and 30,000 shares at $25.55 — lifting his direct stake to 215,000 shares (over $5.6M invested), with no offsetting significant insider selling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Growth-sleeve stock (yield fell to 1.83%, below the 2% dividend-sleeve threshold; PEG unavailable and excluded from weighting given REIT GAAP-EPS distortions). D/E of 125% is elevated versus the 70% target. ROE of 14.44% is near the 15% target. Revenue is roughly flat (TTM YoY -3.9%, 5yr CAGR +3.3%), reflecting a mature, occupancy-driven business. Forward P/E of 236.72 scores zero mechanically — GAAP EPS for REITs is a poor earnings proxy since it excludes real estate depreciation add-backs captured in FFO (consensus FFO of $2.35/share in 2026 rising to $2.69 in 2027, +14.5%). Profit margin of 51.77% (FY2025) is inflated by $838.5M in one-time gains on property disposals rather than core operating profitability [5][6]. Liquidity floor easily cleared: $40.34 x 1,182,271 avg daily volume = $47.7M.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Vornado under Steven Roth's 46-year leadership shows real infinite-game instincts — committing $2.5B to PENN District during peak post-COVID office skepticism, and now buying premium assets at 65-70% below replacement cost while peers retrench. But the implicit cause is quality-positioning rather than a formally articulated Just Cause, and the prior dividend cuts reflect finite-game balance-sheet pressure even as the payment streak itself continued uninterrupted.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Vornado's implicit cause — creating premier urban environments in America's greatest cities — has been pursued consistently under Roth's leadership since 1980, and the PENN District 'city within a city' vision reflects genuine placemaking ambition [1][2]. However, this is not formally articulated as a Just Cause and reads more as a quality-focused business strategy than a resilient, service-oriented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Steven Roth has led Vornado for 46 years with a stable senior team, suggesting real leadership continuity, but with only 3,145 employees and limited public culture data beyond leadership stability, evidence of exceptional organizational trust is thin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Vornado's competitive language emphasizes being 'premier' and 'preeminent' rather than acknowledging where rivals like SL Green or Brookfield excel, consistent with a finite, share-focused competitive posture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Vornado has narrowed its focus — exiting non-core markets and concentrating capital in premium NYC, Chicago, and San Francisco assets — and transformed PENN District from commodity office space into a mixed-use urban campus, but the company is still fundamentally doing the same thing (owning and leasing real estate), not reinventing its business model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$2.5B PENN District redevelopment was undertaken during maximum post-COVID skepticism about NYC office demand, and management is now again acting contrarian by acquiring a 99%-occupied office building at $950/sf (65-70% below replacement cost) while much of the market remains cautious on office real estate — two distinct examples of leadership deploying capital against prevailing sentiment in service of long-term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Vornado's bull case rests on the PENN District inflection point and opportunistic capital deployment — $200M+ of currently unrecognized PENN District rent is expected to convert into earnings by 2027, Manhattan leasing is showing double-digit mark-to-market rent growth (+11.7% GAAP), and management just acquired a 49% stake in a 99%-occupied building at 65-70% below replacement cost with an 8% GAAP yield [1]. FFO consensus of $2.35/share in 2026 rising to $2.69 in 2027 (+14.5%) signals a credible earnings acceleration, and Director Daniel Tisch's sustained open-market buying (215,000 shares, $5.6M+ invested in Q1 2026 alone) reflects real insider conviction from someone close to the assets [4].</w:t>
      </w:r>
    </w:p>
    <w:p>
      <w:pPr>
        <w:spacing w:after="120"/>
      </w:pPr>
      <w:r>
        <w:rPr>
          <w:rFonts w:ascii="Calibri" w:hAnsi="Calibri"/>
          <w:b w:val="0"/>
          <w:color w:val="3A4A28"/>
          <w:sz w:val="20"/>
        </w:rPr>
        <w:t>The bear case centers on financial engineering scars and near-term earnings softness: Q1 2026 comparable FFO fell 17.5% YoY to $0.52/share on higher interest expense and a ground-rent accrual reversal, and forward P/E of 236.72 reflects how little the GAAP earnings line captures true REIT economics [5]. D/E of 125% remains elevated versus the 70% target, and the dividend was cut twice (2020 and 2023) from levels several multiples above today's $0.74/share, with the 5-year dividend growth CAGR still deeply negative even as the payment itself has held flat for two years running. Structural office-demand uncertainty from hybrid work, even in Vornado's premium-transit-adjacent niche, remains the multi-year swing factor for whether the PENN District and new acquisitions deliver the promised 2027 earnings inflection.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PENN District lease-up progressing toward the 2027 earnings inflection, with $200M+ of currently unrecognized rent expected to convert into FFO growth as occupancy climbs</w:t>
      </w:r>
    </w:p>
    <w:p>
      <w:pPr>
        <w:spacing w:before="40" w:after="40"/>
        <w:ind w:left="283"/>
      </w:pPr>
      <w:r>
        <w:rPr>
          <w:rFonts w:ascii="Calibri" w:hAnsi="Calibri"/>
          <w:b/>
          <w:color w:val="4A6B25"/>
          <w:sz w:val="20"/>
        </w:rPr>
        <w:t xml:space="preserve">2. </w:t>
      </w:r>
      <w:r>
        <w:rPr>
          <w:rFonts w:ascii="Calibri" w:hAnsi="Calibri"/>
          <w:b w:val="0"/>
          <w:color w:val="3A4A28"/>
          <w:sz w:val="20"/>
        </w:rPr>
        <w:t>Newly acquired 49% stake in a 99%-occupied office building at 65-70% below replacement cost (8% GAAP yield) adding ~$0.10/share on a full run-rate basis, demonstrating continued opportunistic capital deployment</w:t>
      </w:r>
    </w:p>
    <w:p>
      <w:pPr>
        <w:spacing w:before="40" w:after="40"/>
        <w:ind w:left="283"/>
      </w:pPr>
      <w:r>
        <w:rPr>
          <w:rFonts w:ascii="Calibri" w:hAnsi="Calibri"/>
          <w:b/>
          <w:color w:val="4A6B25"/>
          <w:sz w:val="20"/>
        </w:rPr>
        <w:t xml:space="preserve">3. </w:t>
      </w:r>
      <w:r>
        <w:rPr>
          <w:rFonts w:ascii="Calibri" w:hAnsi="Calibri"/>
          <w:b w:val="0"/>
          <w:color w:val="3A4A28"/>
          <w:sz w:val="20"/>
        </w:rPr>
        <w:t>Sustained insider buying by Director Daniel Tisch ($5.6M+ across Q1 2026) signaling informed conviction as FFO consensus builds from $2.35/share (2026) to $2.69/share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comparable FFO declined 17.5% YoY to $0.52/share on higher interest expense, showing near-term earnings remain choppy ahead of the promised 2027 inflection</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125% D/E limits balance sheet flexibility, and forward P/E of 236.72 underscores how disconnected GAAP earnings are from the underlying real estate economics investors must instead track via FFO</w:t>
      </w:r>
    </w:p>
    <w:p>
      <w:pPr>
        <w:spacing w:before="40" w:after="40"/>
        <w:ind w:left="283"/>
      </w:pPr>
      <w:r>
        <w:rPr>
          <w:rFonts w:ascii="Calibri" w:hAnsi="Calibri"/>
          <w:b/>
          <w:color w:val="4A6B25"/>
          <w:sz w:val="20"/>
        </w:rPr>
        <w:t xml:space="preserve">3. </w:t>
      </w:r>
      <w:r>
        <w:rPr>
          <w:rFonts w:ascii="Calibri" w:hAnsi="Calibri"/>
          <w:b w:val="0"/>
          <w:color w:val="3A4A28"/>
          <w:sz w:val="20"/>
        </w:rPr>
        <w:t>Legacy of two dividend cuts (2020, 2023) leaves the 5-year dividend growth CAGR deeply negative; failure to resume real per-share dividend growth beyond the current flat $0.74 could continue to weigh on the income-oriented shareholder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Vornado's core business — owning, managing, and developing physical real estate in prime Manhattan, Chicago, and San Francisco locations — is structurally immune to AI displacement; no software can substitute for a Class A office building at PENN Station or a flagship Fifth Avenue retail space [2]. AI-driven remote-work trends pose an indirect demand risk to office REITs broadly, but Vornado's concentration in premium, transit-adjacent, amenity-rich properties (evidenced by double-digit Manhattan mark-to-market rent growth) positions it in the segment least exposed to remote-work substitution [1]. AI Opportunity (0/1): No AI-related revenue streams; Vornado does not develop or sell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Vornado Realty Trust Q1 2026 Earnings Call Transcript — Motley Fool, Investing.com, AOL/Yahoo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Vornado Realty Trust corporate profile and executive team — vno.com governance, Steven Roth Wikipedia/Bloomberg profiles</w:t>
      </w:r>
    </w:p>
    <w:p>
      <w:pPr>
        <w:spacing w:before="20" w:after="20"/>
        <w:ind w:left="170"/>
      </w:pPr>
      <w:r>
        <w:rPr>
          <w:rFonts w:ascii="Calibri" w:hAnsi="Calibri"/>
          <w:b/>
          <w:color w:val="4A6B25"/>
          <w:sz w:val="15"/>
        </w:rPr>
        <w:t xml:space="preserve">3. </w:t>
      </w:r>
      <w:r>
        <w:rPr>
          <w:rFonts w:ascii="Calibri" w:hAnsi="Calibri"/>
          <w:b w:val="0"/>
          <w:color w:val="3A4A28"/>
          <w:sz w:val="17"/>
        </w:rPr>
        <w:t>Vornado ESG Report and Vision 2030 Roadmap — Nareit, vno.com, 95% LEED-certified portfolio</w:t>
      </w:r>
    </w:p>
    <w:p>
      <w:pPr>
        <w:spacing w:before="20" w:after="20"/>
        <w:ind w:left="170"/>
      </w:pPr>
      <w:r>
        <w:rPr>
          <w:rFonts w:ascii="Calibri" w:hAnsi="Calibri"/>
          <w:b/>
          <w:color w:val="4A6B25"/>
          <w:sz w:val="15"/>
        </w:rPr>
        <w:t xml:space="preserve">4. </w:t>
      </w:r>
      <w:r>
        <w:rPr>
          <w:rFonts w:ascii="Calibri" w:hAnsi="Calibri"/>
          <w:b w:val="0"/>
          <w:color w:val="3A4A28"/>
          <w:sz w:val="17"/>
        </w:rPr>
        <w:t>StockTitan / MarketScreener — Vornado Form 4 insider trading activity (Director Daniel Tisch purchases), Q1-Q2 2026</w:t>
      </w:r>
    </w:p>
    <w:p>
      <w:pPr>
        <w:spacing w:before="20" w:after="20"/>
        <w:ind w:left="170"/>
      </w:pPr>
      <w:r>
        <w:rPr>
          <w:rFonts w:ascii="Calibri" w:hAnsi="Calibri"/>
          <w:b/>
          <w:color w:val="4A6B25"/>
          <w:sz w:val="15"/>
        </w:rPr>
        <w:t xml:space="preserve">5. </w:t>
      </w:r>
      <w:r>
        <w:rPr>
          <w:rFonts w:ascii="Calibri" w:hAnsi="Calibri"/>
          <w:b w:val="0"/>
          <w:color w:val="3A4A28"/>
          <w:sz w:val="17"/>
        </w:rPr>
        <w:t>GuruFocus / Nasdaq — VNO FFO per share and analyst consensus estimates,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VNO financial ratios, 5-year financials, and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