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VOYG</w:t>
      </w:r>
      <w:r>
        <w:rPr>
          <w:rFonts w:ascii="Calibri" w:hAnsi="Calibri"/>
          <w:b/>
          <w:color w:val="1A2010"/>
          <w:sz w:val="40"/>
        </w:rPr>
        <w:t xml:space="preserve">  Voyager Technologies, Inc.</w:t>
      </w:r>
    </w:p>
    <w:p>
      <w:pPr>
        <w:spacing w:after="120"/>
      </w:pPr>
      <w:r>
        <w:rPr>
          <w:rFonts w:ascii="Calibri" w:hAnsi="Calibri"/>
          <w:b/>
          <w:color w:val="6E8450"/>
          <w:sz w:val="18"/>
        </w:rPr>
        <w:t>GROWTH SLEEVE · 2026-07-26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Voyager Technologies, Inc. is a defense technology and space solutions company operating through three segments: Defense &amp; National Security (mission-critical solutions including next-generation interceptors and Golden Dome defense work), Space Solutions (in-space propulsion systems, the Bishop Airlock module on the ISS, and space science services), and Starlab Space Stations (commercial space station in partnership with Airbus, targeted for 2029 launch to replace ISS capabilities). The company also acquired Astrobotic for $300M to enhance lunar capabilities. Founded in 2019, headquartered in Denver, Colorado.</w:t>
      </w:r>
    </w:p>
    <w:p>
      <w:r>
        <w:rPr>
          <w:rFonts w:ascii="Calibri" w:hAnsi="Calibri"/>
          <w:b/>
          <w:color w:val="6E8450"/>
          <w:sz w:val="18"/>
        </w:rPr>
        <w:t>800 Employees · https://voyagertechnologies.com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Voyager has assembled a space and defense portfolio through acquisitions (Astrobotic for $300M, Bishop Airlock), but the company remains pre-revenue on its flagship Starlab program and has not yet delivered a transformative product to market — Q1 2026 revenue of $35.2M is modest for the ambition [1][4]. AI Deployment (1/2): Voyager has partnered with Palantir as exclusive software provider for Starlab, leveraging digital twins and AI for space station operations, but no quantified AI revenue has been reported [4]. Market Share (1/2): One of only three companies selected by NASA for commercial low-earth-orbit destinations (alongside Blue Origin and Northrop Grumman), giving Voyager a meaningful position in the commercial space station market [4]. Product Pipeline (2/2): Starlab space station launch targeted for 2029 with Airbus partnership, Golden Dome-related next-generation interceptor contracts, Raytheon standard missile interceptor preproduction contract, and DoD-funded programs provide specific pipeline visibility [1][2]. R&amp;D Intensity (1/1): Heavy R&amp;D investment reflected in $33.3M adjusted EBITDA loss driven by Starlab development and defense technology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Voyager's purpose of 'accelerating access to space' and ensuring continued permanent human presence in orbit is clear and forward-looking, connecting the company's work to humanity's long-term future. However, the company is only seven years old and the mission has not yet been validated by decades of execution [4]. Community Impact (1/2): Voyager joined the Unreasonable Fellowship to drive scalable social change, leads EdTech and AgTech space initiatives, and co-architected the World Economic Forum's Space Sustainability Rating — meaningful engagement for a company its size [4]. Employee Retention (0/2): Rapid headcount growth from startup scale to 800 employees makes retention data unreliable; no specific turnover or tenure metrics available [3]. Insider Buying (0/2): CEO Dylan Taylor has significant equity exposure as founder-chairman-CEO, but no specific net insider buying transactions were identified in 2026 filings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the standout metric — 2025 revenue of $166M grew 15.4% YoY from $144M, and 2026 guidance of $230-255M implies 38-53% acceleration driven by defense contract wins and Golden Dome-related work [1][2]. However, the company is deeply unprofitable with -70% profit margin ($116M loss on $166M revenue in 2025), negative ROE, and estimated D/E of ~208% ($491M total debt against estimated equity of ~$236M) [1][3]. No forward P/E or PEG exists as the company projects continued losses (consensus 2026 EPS of -$2.27). The strong revenue growth trajectory scores well, but negative profitability metrics drag the composite down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Voyager Technologies demonstrates genuine infinite-game qualities — a forward-looking mission to ensure humanity's permanent presence in space, willingness to invest billions in Starlab despite near-term losses, and a diversified approach spanning defense, space solutions, and commercial space stations. However, the company is too young (founded 2019) to have validated these qualities through multiple market cycles or leadership transitions, and the heavy reliance on government contracts creates finite-game dynamics around contract wins and losses.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'Accelerating access to space' and building the successor to the ISS represent a genuine cause connecting Voyager's work to humanity's future in space — an inherently infinite purpose. The Starlab program, with its mission to ensure continued permanent human presence in orbit after ISS retirement, is service-oriented and bigger than any single product. However, the company is only seven years old and has not yet validated this cause through sustained execution across market cycles or leadership transitions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Voyager has been building its leadership team with strategic hires — Paul Tilghman as CTO to lead technology strategy, Shoshanna Moody as CAO overseeing HR and compliance — suggesting intentional organizational development. CEO Dylan Taylor's 5.9-year tenure provides leadership continuity. However, the company's rapid growth from startup to 800 employees makes cultural depth uncertain, and no specific employee retention or satisfaction data is available [3][4].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Voyager competes against SpaceX, Blue Origin, and Northrop Grumman for commercial space station contracts without framing the competition as zero-sum. CEO Dylan Taylor has acknowledged the broader ecosystem's importance and positioned Voyager's partnership approach (Airbus for Starlab, Palantir for AI, Raytheon for defense) as complementary to rather than competing with rivals' strengths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Voyager has evolved from a pure space exploration company to a defense technology and space solutions enterprise, adding the Defense &amp; National Security segment and Golden Dome-related capabilities to complement its Space Solutions and Starlab programs. The $300M acquisition of Astrobotic expanded lunar capabilities. These represent incremental strategic evolution rather than transformative reinvention [1][4].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Voyager is investing heavily in Starlab (billions in projected development costs) despite current operating losses of $33.3M per quarter, representing a genuine long-term bet on commercial space infrastructure. The $300M Astrobotic acquisition during a period of losses demonstrates willingness to invest for future capability. However, these investments are largely funded by government contracts (NASA, DoD) and capital raises rather than sacrificing existing profits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Voyager Technologies is positioned at the intersection of two secular growth trends — expanding U.S. defense spending (Golden Dome, next-gen interceptors) and the commercial space infrastructure buildout as the ISS approaches retirement by 2030 [1][4]. Q1 2026 delivered record backlog of $275.3M (up 54% YoY) with a 1.3 book-to-bill ratio, and management raised full-year 2026 revenue guidance to $230-255M, representing 38-53% growth. The Starlab program, partnered with Airbus and leveraging Palantir AI, is one of three NASA-selected commercial space station destinations. Defense &amp; National Security revenue is accelerating on Golden Dome-related awards and Raytheon preproduction contracts, providing near-term revenue diversity beyond Starlab [1][2].</w:t>
      </w:r>
    </w:p>
    <w:p>
      <w:pPr>
        <w:spacing w:after="120"/>
      </w:pPr>
      <w:r>
        <w:rPr>
          <w:rFonts w:ascii="Calibri" w:hAnsi="Calibri"/>
          <w:b w:val="0"/>
          <w:color w:val="3A4A28"/>
          <w:sz w:val="20"/>
        </w:rPr>
        <w:t>The bear case centers on capital intensity and path to profitability. Voyager posted a $44M Q1 net loss and $33.3M adjusted EBITDA loss, with consensus 2026 EPS of -$2.27 projecting continued losses as Starlab development costs mount [1][3]. Total debt of $491M against estimated equity of ~$236M (D/E ~208%) creates meaningful financial leverage risk. The Starlab program carries execution risk — a 2029 launch target with billions in remaining investment depends on continued NASA funding, which faces political uncertainty. The $300M Astrobotic acquisition increased cash burn and near-term capital needs. Morgan Stanley recently downgraded VOYG to Underweight, citing stretched valuation at $1.8B market cap for a company with $166M in 2025 revenue and sustained losses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Golden Dome defense program expansion driving accelerating bookings in Defense &amp; National Security segment, with Q1 2026 bookings of $45M pushing backlog to record $275.3M</w:t>
      </w:r>
    </w:p>
    <w:p>
      <w:pPr>
        <w:spacing w:before="40" w:after="40"/>
        <w:ind w:left="283"/>
      </w:pPr>
      <w:r>
        <w:rPr>
          <w:rFonts w:ascii="Calibri" w:hAnsi="Calibri"/>
          <w:b/>
          <w:color w:val="4A6B25"/>
          <w:sz w:val="20"/>
        </w:rPr>
        <w:t xml:space="preserve">2. </w:t>
      </w:r>
      <w:r>
        <w:rPr>
          <w:rFonts w:ascii="Calibri" w:hAnsi="Calibri"/>
          <w:b w:val="0"/>
          <w:color w:val="3A4A28"/>
          <w:sz w:val="20"/>
        </w:rPr>
        <w:t>Starlab commercial space station achieving additional development milestones ($24M in NASA cash receipts in Q1 2026) ahead of planned 2029 launch as ISS replacement</w:t>
      </w:r>
    </w:p>
    <w:p>
      <w:pPr>
        <w:spacing w:before="40" w:after="40"/>
        <w:ind w:left="283"/>
      </w:pPr>
      <w:r>
        <w:rPr>
          <w:rFonts w:ascii="Calibri" w:hAnsi="Calibri"/>
          <w:b/>
          <w:color w:val="4A6B25"/>
          <w:sz w:val="20"/>
        </w:rPr>
        <w:t xml:space="preserve">3. </w:t>
      </w:r>
      <w:r>
        <w:rPr>
          <w:rFonts w:ascii="Calibri" w:hAnsi="Calibri"/>
          <w:b w:val="0"/>
          <w:color w:val="3A4A28"/>
          <w:sz w:val="20"/>
        </w:rPr>
        <w:t>Revenue guidance increase to $230-255M for 2026 (38-53% growth) with improving gross margins expected to reach mid-20s by Q4 2026, creating a path toward eventual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operating losses ($44M net loss in Q1 2026 alone) with D/E of ~208% and $491M total debt create meaningful balance sheet risk if defense or NASA funding is delayed or reduced</w:t>
      </w:r>
    </w:p>
    <w:p>
      <w:pPr>
        <w:spacing w:before="40" w:after="40"/>
        <w:ind w:left="283"/>
      </w:pPr>
      <w:r>
        <w:rPr>
          <w:rFonts w:ascii="Calibri" w:hAnsi="Calibri"/>
          <w:b/>
          <w:color w:val="4A6B25"/>
          <w:sz w:val="20"/>
        </w:rPr>
        <w:t xml:space="preserve">2. </w:t>
      </w:r>
      <w:r>
        <w:rPr>
          <w:rFonts w:ascii="Calibri" w:hAnsi="Calibri"/>
          <w:b w:val="0"/>
          <w:color w:val="3A4A28"/>
          <w:sz w:val="20"/>
        </w:rPr>
        <w:t>Starlab program carries multi-billion dollar execution risk with a 2029 launch target that depends on continued NASA appropriations and technical milestones across a complex Airbus partnership</w:t>
      </w:r>
    </w:p>
    <w:p>
      <w:pPr>
        <w:spacing w:before="40" w:after="40"/>
        <w:ind w:left="283"/>
      </w:pPr>
      <w:r>
        <w:rPr>
          <w:rFonts w:ascii="Calibri" w:hAnsi="Calibri"/>
          <w:b/>
          <w:color w:val="4A6B25"/>
          <w:sz w:val="20"/>
        </w:rPr>
        <w:t xml:space="preserve">3. </w:t>
      </w:r>
      <w:r>
        <w:rPr>
          <w:rFonts w:ascii="Calibri" w:hAnsi="Calibri"/>
          <w:b w:val="0"/>
          <w:color w:val="3A4A28"/>
          <w:sz w:val="20"/>
        </w:rPr>
        <w:t>Morgan Stanley downgrade to Underweight with $39 price target flags valuation concern at $1.8B market cap for a company generating only $166M in 2025 revenue with no clear profitability timeline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Voyager's core business involves physical space infrastructure (building space stations, propulsion systems, lunar landers), defense hardware (next-gen interceptors, missile defense), and crewed space operations — activities that AI structurally cannot displace [1][4]. Satellite manufacturing, rocket propulsion engineering, and space station construction require physical-world capabilities far beyond AI's reach. AI may actually increase demand for Voyager's services as AI data centers drive satellite communications needs and autonomous systems expand defense requirements. Golden Dome-related defense work explicitly leverages AI-enabled capabilities, making Voyager a builder of AI infrastructure rather than a target for disruption [1][2]. AI Opportunity (1/1): Palantir partnership provides AI-powered digital twins and data management for Starlab operations, and defense contracts increasingly incorporate AI-enabled autonomous systems, generating quantifiable AI-related revenue within the Defense &amp; National Security segment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Voyager Reports Q1 2026 Financial Results, Record Backlog, Increases Revenue Guidance — Business Wire, May 4, 2026</w:t>
      </w:r>
    </w:p>
    <w:p>
      <w:pPr>
        <w:spacing w:before="20" w:after="20"/>
        <w:ind w:left="170"/>
      </w:pPr>
      <w:r>
        <w:rPr>
          <w:rFonts w:ascii="Calibri" w:hAnsi="Calibri"/>
          <w:b/>
          <w:color w:val="4A6B25"/>
          <w:sz w:val="15"/>
        </w:rPr>
        <w:t xml:space="preserve">2. </w:t>
      </w:r>
      <w:r>
        <w:rPr>
          <w:rFonts w:ascii="Calibri" w:hAnsi="Calibri"/>
          <w:b w:val="0"/>
          <w:color w:val="3A4A28"/>
          <w:sz w:val="17"/>
        </w:rPr>
        <w:t>Voyager Technologies Q1 2026 Earnings Call Transcript and Revenue Guidance Update — Seeking Alpha, May 2026</w:t>
      </w:r>
    </w:p>
    <w:p>
      <w:pPr>
        <w:spacing w:before="20" w:after="20"/>
        <w:ind w:left="170"/>
      </w:pPr>
      <w:r>
        <w:rPr>
          <w:rFonts w:ascii="Calibri" w:hAnsi="Calibri"/>
          <w:b/>
          <w:color w:val="4A6B25"/>
          <w:sz w:val="15"/>
        </w:rPr>
        <w:t xml:space="preserve">3. </w:t>
      </w:r>
      <w:r>
        <w:rPr>
          <w:rFonts w:ascii="Calibri" w:hAnsi="Calibri"/>
          <w:b w:val="0"/>
          <w:color w:val="3A4A28"/>
          <w:sz w:val="17"/>
        </w:rPr>
        <w:t>Voyager Technologies (VOYG) Statistics, Valuation, and Analyst Ratings — StockAnalysis.com, Investing.com,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Voyager Technologies Company Profile, Leadership, and Starlab Overview — voyagertechnologies.com,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Morgan Stanley Downgrade to Underweight and VOYG Market Data — MarketScreener, Yahoo Finance,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