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VRDN</w:t>
      </w:r>
      <w:r>
        <w:rPr>
          <w:rFonts w:ascii="Calibri" w:hAnsi="Calibri"/>
          <w:b/>
          <w:color w:val="1A2010"/>
          <w:sz w:val="40"/>
        </w:rPr>
        <w:t xml:space="preserve">  Viridian Therapeutics, Inc.</w:t>
      </w:r>
    </w:p>
    <w:p>
      <w:pPr>
        <w:spacing w:after="120"/>
      </w:pPr>
      <w:r>
        <w:rPr>
          <w:rFonts w:ascii="Calibri" w:hAnsi="Calibri"/>
          <w:b/>
          <w:color w:val="6E8450"/>
          <w:sz w:val="18"/>
        </w:rPr>
        <w:t>GROWTH SLEEVE · 2026-07-28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Viridian Therapeutics, Inc. is a biopharmaceutical company focused on developing antibody-based therapies for autoimmune and rare diseases. Lead product Lumvoa received FDA approval in 2026 for thyroid eye disease (TED), positioning the company for its first major commercial launch in competition with Amgen's Tepezza. Pipeline includes additional anti-FcRn antibody candidates. Headquartered in Waltham, Massachusetts.</w:t>
      </w:r>
    </w:p>
    <w:p>
      <w:r>
        <w:rPr>
          <w:rFonts w:ascii="Calibri" w:hAnsi="Calibri"/>
          <w:b/>
          <w:color w:val="6E8450"/>
          <w:sz w:val="18"/>
        </w:rPr>
        <w:t>350 Employees · https://www.viridiantherapeutics.com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Viridian achieved FDA approval for Lumvoa in 2026 for thyroid eye disease, a significant milestone that transformed the company from clinical-stage to commercial-stage biotech [1]. This represents one major product launch opening a new revenue stream in a market previously dominated by Tepezza. AI Deployment (0/2): No evidence of AI-powered products or AI-driven internal efficiencies. The company's R&amp;D approach relies on traditional antibody engineering and clinical development [1]. Market Share (1/2): Lumvoa enters the TED market as a meaningful competitor to Tepezza (Amgen/Horizon), which generated ~$2B in peak annual sales, but Viridian is a new entrant without established market share data yet [1]. Product Pipeline (1/2): Pipeline includes additional anti-FcRn antibody candidates targeting autoimmune indications beyond TED, but specific next-gen product timelines and revenue visibility remain limited [1][5]. R&amp;D Intensity (1/1): R&amp;D spending of $77.6M in Q1 2026 alone vastly exceeds revenue of $0.1M, reflecting top-quartile R&amp;D intensity for the biotech sector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Viridian's stated mission to 'transform the lives of patients with autoimmune and rare diseases' is clear and identifies what the company does and for whom, but is not distinctively different from dozens of peer biotechs with nearly identical purpose statements [3]. Community Impact (0/2): No evidence of significant charitable programs, community investment, or foundation activity beyond standard corporate citizenship [3]. Employee Retention (1/2): Glassdoor rating of 3.6/5 based on 21 reviews indicates adequate employee experience; reviews cite 'culture of transparency, empowerment, and follow-through' and strategic leadership, though rapid growth presents challenges to maintaining close-knit culture [2]. Insider Buying (0/2): CEO Steve Mahoney's compensation is equity-based at $1.12M total, but no evidence of meaningful net insider buying by executives in the last 12 months beyond standard vesting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yfinance data unavailable; web-sourced data used. Viridian is a newly commercial biotech burning ~$105M/quarter with Q1 2026 revenue of only $0.1M against a TTM base of $70.9M including collaboration revenue [5][1]. Analysts project $78.4M full-year 2026 revenue reflecting Lumvoa commercial launch ramp [4]. Revenue growth metrics score well (14% YoY projected, 84% 5yr CAGR from near-zero base), but profitability metrics score zero — ROE is deeply negative with ~$420M annualized net loss, and profit margins are deeply negative [5]. Forward P/E and PEG are not applicable given negative earnings. D/E excluded due to data unavailability. Score reflects strong revenue trajectory offset by zero profitability across all measures.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Viridian operates with a patient-first cause typical of specialty biotechs but has not yet demonstrated the multi-decade consistency or transformative flexibility that characterizes truly infinite players. The company's singular focus on TED and autoimmune conditions shows purpose, but the cause has not been tested through multiple market cycles or leadership transitions. CEO Steve Mahoney's tenure of less than 2 years is too short to evaluate long-term leadership courage.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Viridian's purpose of transforming lives of patients with autoimmune and rare diseases is genuine and connects the company's work to patient outcomes beyond profit [3]. The FDA approval of Lumvoa validates that strategic decisions trace back to the patient-focused mission. However, the cause has not been tested through crisis, leadership transitions, or multi-decade consistency — the company is too young to have proven durability of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(3.6/5, 21 reviews) describe a culture of 'transparency, empowerment, and follow-through' where 'the leadership team makes smart, strategic decisions and creates an environment of trust and accountability' [2]. Adequate trust for a small biotech, though rapid growth presents acknowledged challenges to maintaining the close-knit culture. No evidence of exceptional trust practices or unusually long tenure.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Viridian competes directly with Amgen's Tepezza in the TED market, but competitive language focuses on differentiation and market capture rather than learning from rivals' strengths [1]. No evidence of management commentary acknowledging worthy competitors as motivation for self-improvement in the Sinek sense.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Viridian evolved from its earlier identity and pipeline focus to concentrate on anti-FcRn antibodies for TED and autoimmune diseases, representing incremental strategic adaptation [1]. The company has shown willingness to refocus resources on its most promising candidates. However, no transformative pivot comparable to abandoning a core business has occurred — the company is still too early-stage to have faced such a test.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Viridian has invested heavily in R&amp;D — $77.6M in Q1 2026 alone — while generating virtually zero product revenue, demonstrating willingness to absorb near-term losses for long-term capability [5][1]. The decision to compete head-on with Amgen's Tepezza franchise required conviction. However, this is standard biotech operating mode rather than a distinctively courageous strategic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Viridian achieved a transformative milestone with FDA approval of Lumvoa for thyroid eye disease in 2026, entering a market previously monopolized by Amgen's Tepezza (~$2B peak sales). Analysts project $78.4M in 2026 revenue as the commercial launch ramps, with a consensus price target of $33.80 representing ~70% upside from current levels [1][4]. The company's anti-FcRn antibody platform has potential to expand into additional autoimmune indications beyond TED, providing pipeline optionality. With 110M shares outstanding and ~$2.2B market cap, a successful Lumvoa launch could drive significant revenue growth and path-to-profitability visibility.</w:t>
      </w:r>
    </w:p>
    <w:p>
      <w:pPr>
        <w:spacing w:after="120"/>
      </w:pPr>
      <w:r>
        <w:rPr>
          <w:rFonts w:ascii="Calibri" w:hAnsi="Calibri"/>
          <w:b w:val="0"/>
          <w:color w:val="3A4A28"/>
          <w:sz w:val="20"/>
        </w:rPr>
        <w:t>The primary risk is execution in commercialization against an entrenched competitor. Viridian is burning ~$105M/quarter with minimal revenue, and losses are forecast to widen to $3.90/share in 2026 before Lumvoa sales reach meaningful scale [5][4]. Cash runway is a critical variable — the company will likely need additional capital raises that dilute existing shareholders. The stock has declined significantly from higher levels, trading at ~$20 versus a consensus target of $33.80, suggesting the market is skeptical about commercial execution. Payer access, formulary positioning, and sales force buildout against Amgen's established Tepezza franchise represent substantial execution risks. Pipeline concentration in TED and autoimmune conditions provides limited diversification if the commercial launch underperforms.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Lumvoa commercial launch ramp through H2 2026 with quarterly revenue trajectory as the key metric for market re-rating and analyst estimate revisions</w:t>
      </w:r>
    </w:p>
    <w:p>
      <w:pPr>
        <w:spacing w:before="40" w:after="40"/>
        <w:ind w:left="283"/>
      </w:pPr>
      <w:r>
        <w:rPr>
          <w:rFonts w:ascii="Calibri" w:hAnsi="Calibri"/>
          <w:b/>
          <w:color w:val="4A6B25"/>
          <w:sz w:val="20"/>
        </w:rPr>
        <w:t xml:space="preserve">2. </w:t>
      </w:r>
      <w:r>
        <w:rPr>
          <w:rFonts w:ascii="Calibri" w:hAnsi="Calibri"/>
          <w:b w:val="0"/>
          <w:color w:val="3A4A28"/>
          <w:sz w:val="20"/>
        </w:rPr>
        <w:t>Pipeline readouts on additional anti-FcRn antibody candidates for autoimmune indications beyond TED, providing revenue diversification and platform validation</w:t>
      </w:r>
    </w:p>
    <w:p>
      <w:pPr>
        <w:spacing w:before="40" w:after="40"/>
        <w:ind w:left="283"/>
      </w:pPr>
      <w:r>
        <w:rPr>
          <w:rFonts w:ascii="Calibri" w:hAnsi="Calibri"/>
          <w:b/>
          <w:color w:val="4A6B25"/>
          <w:sz w:val="20"/>
        </w:rPr>
        <w:t xml:space="preserve">3. </w:t>
      </w:r>
      <w:r>
        <w:rPr>
          <w:rFonts w:ascii="Calibri" w:hAnsi="Calibri"/>
          <w:b w:val="0"/>
          <w:color w:val="3A4A28"/>
          <w:sz w:val="20"/>
        </w:rPr>
        <w:t>Payer coverage decisions and formulary positioning for Lumvoa that determine long-term market share potential versus Tepezza in the TED treatment landscape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of ~$105M/quarter with near-zero product revenue creates dilution risk from additional equity raises before Lumvoa sales reach break-even scale</w:t>
      </w:r>
    </w:p>
    <w:p>
      <w:pPr>
        <w:spacing w:before="40" w:after="40"/>
        <w:ind w:left="283"/>
      </w:pPr>
      <w:r>
        <w:rPr>
          <w:rFonts w:ascii="Calibri" w:hAnsi="Calibri"/>
          <w:b/>
          <w:color w:val="4A6B25"/>
          <w:sz w:val="20"/>
        </w:rPr>
        <w:t xml:space="preserve">2. </w:t>
      </w:r>
      <w:r>
        <w:rPr>
          <w:rFonts w:ascii="Calibri" w:hAnsi="Calibri"/>
          <w:b w:val="0"/>
          <w:color w:val="3A4A28"/>
          <w:sz w:val="20"/>
        </w:rPr>
        <w:t>Amgen's Tepezza has established physician relationships, formulary position, and market awareness that create significant switching barriers for Lumvoa adoption</w:t>
      </w:r>
    </w:p>
    <w:p>
      <w:pPr>
        <w:spacing w:before="40" w:after="40"/>
        <w:ind w:left="283"/>
      </w:pPr>
      <w:r>
        <w:rPr>
          <w:rFonts w:ascii="Calibri" w:hAnsi="Calibri"/>
          <w:b/>
          <w:color w:val="4A6B25"/>
          <w:sz w:val="20"/>
        </w:rPr>
        <w:t xml:space="preserve">3. </w:t>
      </w:r>
      <w:r>
        <w:rPr>
          <w:rFonts w:ascii="Calibri" w:hAnsi="Calibri"/>
          <w:b w:val="0"/>
          <w:color w:val="3A4A28"/>
          <w:sz w:val="20"/>
        </w:rPr>
        <w:t>Narrow therapeutic focus in TED and autoimmune conditions means pipeline setbacks or a disappointing Lumvoa launch would leave the company with limited revenue alternatives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Viridian's core business — developing and commercializing antibody-based biologics for autoimmune diseases — is well-protected from AI disruption. FDA regulatory approval processes, Phase III clinical trials, biologic manufacturing complexity, and physician prescribing relationships create structural barriers that AI cannot substitute [1][5]. The physical-world manufacturing of anti-FcRn antibodies and the deeply regulated commercialization pathway provide meaningful defensive moats. However, AI-accelerated drug discovery by larger competitors could theoretically compress Viridian's pipeline advantage in future indications. AI Opportunity (0/1): No evidence of AI-generated revenue or AI-powered products. R&amp;D relies on traditional antibody engineering approaches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Viridian Therapeutics Q1 2026 Earnings Release and Progress Update — BusinessWire, May 5, 2026</w:t>
      </w:r>
    </w:p>
    <w:p>
      <w:pPr>
        <w:spacing w:before="20" w:after="20"/>
        <w:ind w:left="170"/>
      </w:pPr>
      <w:r>
        <w:rPr>
          <w:rFonts w:ascii="Calibri" w:hAnsi="Calibri"/>
          <w:b/>
          <w:color w:val="4A6B25"/>
          <w:sz w:val="15"/>
        </w:rPr>
        <w:t xml:space="preserve">2. </w:t>
      </w:r>
      <w:r>
        <w:rPr>
          <w:rFonts w:ascii="Calibri" w:hAnsi="Calibri"/>
          <w:b w:val="0"/>
          <w:color w:val="3A4A28"/>
          <w:sz w:val="17"/>
        </w:rPr>
        <w:t>Glassdoor Employee Reviews — Viridian Therapeutics (Waltham, MA),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Viridian Therapeutics Corporate Website — About/Team/Mission,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Benzinga — VRDN Key Statistics, Analyst Estimates, and Price Targets,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SEC Filing — VRDN 10-Q Quarterly Earnings Report, Q1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