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VTGN</w:t>
      </w:r>
      <w:r>
        <w:rPr>
          <w:rFonts w:ascii="Calibri" w:hAnsi="Calibri"/>
          <w:b/>
          <w:color w:val="1A2010"/>
          <w:sz w:val="40"/>
        </w:rPr>
        <w:t xml:space="preserve">  Vistagen Therapeutics, Inc.</w:t>
      </w:r>
    </w:p>
    <w:p>
      <w:pPr>
        <w:spacing w:after="120"/>
      </w:pPr>
      <w:r>
        <w:rPr>
          <w:rFonts w:ascii="Calibri" w:hAnsi="Calibri"/>
          <w:b/>
          <w:color w:val="6E8450"/>
          <w:sz w:val="18"/>
        </w:rPr>
        <w:t>GROWTH SLEEVE · 2026-08-05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Vistagen Therapeutics is a late clinical-stage biopharmaceutical company developing intranasal pherine product candidates for CNS disorders. The company's lead candidate, fasedienol, is in Phase 3 development for social anxiety disorder, though both the PALISADE-3 (December 2025) and PALISADE-4 (June 2026) trials failed to meet their primary endpoints. Additional pipeline candidates include itruvone for major depressive disorder and refisolone for menopausal hot flashes. Founded in 1998 and headquartered in South San Francisco, California, the company reported FY2026 revenue of $1.27M and a net loss of $69.7M.</w:t>
      </w:r>
    </w:p>
    <w:p>
      <w:r>
        <w:rPr>
          <w:rFonts w:ascii="Calibri" w:hAnsi="Calibri"/>
          <w:b/>
          <w:color w:val="6E8450"/>
          <w:sz w:val="18"/>
        </w:rPr>
        <w:t>47 Employees · https://www.vistagen.com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Vistagen has not successfully launched a product in its 28-year history. The pivotal PALISADE-3 Phase 3 trial failed its primary endpoint in December 2025, triggering an 80% stock decline [1]. The subsequent PALISADE-4 Phase 3 trial also missed its primary endpoint in June 2026, showing only a 1.9-point difference versus placebo on the SUDS score [2]. Two consecutive Phase 3 failures represent the opposite of successful product launches or transformative pivots. AI Deployment (0/2): No evidence of AI-powered products or quantified AI-driven operational savings. The company is focused on clinical-stage drug development with no AI product differentiation. Market Share (0/2): Pre-commercial company with no market share in any therapeutic category. Revenue of $1.27M in FY2026 is entirely from licensing arrangements, not product sales [1]. Product Pipeline (1/2): Despite the Phase 3 failures, Vistagen maintains five clinical-stage pherine candidates — fasedienol, itruvone (Phase 2A positive data for MDD), refisolone (Phase 2 for hot flashes), PH15, and PH284 [2]. The company plans to meet with FDA to discuss a registrational pathway using a different primary endpoint (LSAS) for a future Phase 3 trial. Specific candidates with regulatory interactions provide some pipeline visibility. R&amp;D Intensity (1/1): R&amp;D spending of $14.2M per quarter on $0.3M quarterly revenue represents extreme R&amp;D intensity — essentially the entire business is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Vistagen's purpose — developing fast-acting, non-systemic nasal treatments to transform standards of care in mental health — is clear and identifies a meaningful patient population with an unmet need [2]. The pherine mechanism (activating chemosensory neurons without systemic absorption) represents a genuinely distinctive therapeutic approach. However, the mission reads as standard biotech language without the depth or validation that would score higher. Community Impact (0/2): No evidence of charitable foundation, community investment programs, or specific philanthropic initiatives beyond the company's commercial pipeline. Employee Retention (0/2): The company implemented a 20% workforce reduction in March 2026, reducing headcount from approximately 59 to 47 employees [4]. This signals organizational instability rather than mission-driven retention. CEO Shawn Singh has served since 2009 (17+ years), providing leadership continuity at the top, but Glassdoor reviews from the prior screening cited poor morale and inconsistent direction. Insider Buying (0/2): No insider purchases or sales in the last 90 days [5]. Over the last 3 years, one insider buy of $17.96M was recorded, but no evidence of buying within the last 12 months. Multiple securities class action lawsuits allege management misled investors about Phase 3 trial prospects, further undermining insider credibility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1,420,000 shares at $0.58 stock price equals $823,600 daily traded value, below the $1,000,000 minimum threshold [5]. Infrastructure score is automatically set to 0 regardless of other metrics. Underlying fundamentals are deeply impaired: $23M market cap, FY2026 revenue of only $1.27M with a net loss of $69.7M, deeply negative ROE, and no path to near-term profitability [1]. Cash position of $45M as of March 2026 with a burn rate of approximately $61M per year provides roughly 9 months of runway, necessitating additional dilutive financing [3]. D/E of 3% reflects minimal debt but equity has been eroded by cumulative losses. The Altman Z-Score of -8.34 places the company firmly in the distress zone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Vistagen is playing a finite game driven by clinical milestones, cash runway, and survival. Two consecutive Phase 3 failures (PALISADE-3 in December 2025 and PALISADE-4 in June 2026), securities fraud litigation, a 20% workforce reduction, and approximately 9 months of cash runway describe a company in existential crisis rather than one built to endure [1][2][4]. While the mental health mission has genuine purpose, 28 years without a commercial product suggests the cause has not been validated by execution.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Vistagen articulates a cause around transforming mental health treatment through fast-acting pherine nasal sprays that avoid systemic side effects of SSRIs and benzodiazepines [2]. The cause is genuine — anxiety disorders are undertreated and current medications have significant limitations. However, the cause has not been validated by commercial execution. After 28 years since founding and two Phase 3 failures, no product has reached market. A post-hoc analysis showing benefit only in very severe SAD patients is not validation of the platform.</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March 2026 workforce reduction of 20% and Nasdaq audit committee non-compliance notification signal organizational instability [4]. Securities fraud lawsuits from multiple law firms allege leadership concealed adverse information about trial prospects, directly undermining the Circle of Safety. With only 47 employees remaining after layoffs, the organization is in survival mode. CEO Singh's 17-year tenure provides consistency at the top, but the revolving organizational structure below him does not inspire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Vistagen acknowledges competitors' strengths or learns from rivals. The company positions its pherine technology as sui generis — distinct from SSRIs, benzodiazepines, and other novel mechanisms — without meaningful competitive engagement with approaches from Sage Therapeutics (zuranolone), Bionomics, or other companies developing anxiety treatments.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Vistagen has shown adaptive thinking by expanding its pherine platform beyond social anxiety into multiple indications — MDD (itruvone), menopausal hot flashes (refisolone), cognitive impairment (PH15), and appetite disorders (PH284) [2]. The plan to meet with FDA about changing the primary endpoint from SUDS to LSAS for a future Phase 3 trial shows willingness to adapt methodology. However, these moves are tactical pivots within the same technology platform rather than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Continuing to pursue the pherine platform after two consecutive Phase 3 failures is persistence, but Sinek's courage requires sacrificing short-term performance for long-term capability. Vistagen has no short-term performance to sacrifice — the company has never been profitable in 28 years [1]. The workforce reduction and cash conservation measures signal survival-mode decision-making, not courageous investment in future capability. The decision to seek FDA discussion on a modified registrational pathway is rational but not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Vistagen's remaining bull case is a high-risk, high-reward clinical bet. The company plans to meet with FDA to discuss a registrational pathway for fasedienol using the LSAS primary endpoint and confirmatory evidence from the PALISADE program, potentially requiring only one additional Phase 3 trial [2]. A post-hoc analysis of PALISADE-4 showed nominally significant improvement in patients with very severe social anxiety, suggesting the pherine mechanism may work in a more narrowly defined population. The $45M cash position provides time to generate a regulatory strategy, and the broader pipeline (itruvone Phase 2A positive data for MDD, refisolone Phase 2 for hot flashes) offers diversification across CNS indications. If a revised Phase 3 succeeds, fasedienol would address an estimated $5B+ social anxiety market with a differentiated rapid-onset, non-systemic profile [2].</w:t>
      </w:r>
    </w:p>
    <w:p>
      <w:pPr>
        <w:spacing w:after="120"/>
      </w:pPr>
      <w:r>
        <w:rPr>
          <w:rFonts w:ascii="Calibri" w:hAnsi="Calibri"/>
          <w:b w:val="0"/>
          <w:color w:val="3A4A28"/>
          <w:sz w:val="20"/>
        </w:rPr>
        <w:t>The bear case is severe. Two consecutive Phase 3 failures (PALISADE-3 and PALISADE-4 both missing primary endpoints) raise fundamental questions about whether the pherine mechanism produces clinically meaningful efficacy in social anxiety disorder [1][2]. The stock has collapsed from $5.14 to $0.58, destroying over 88% of shareholder value within the 52-week range. Multiple securities class action lawsuits allege management misled investors about trial prospects [4]. Cash of $45M against a $61M annual burn rate provides approximately 9 months of runway — any additional trial would require substantial dilutive financing at the current $23M market cap. The 20% workforce reduction, Nasdaq audit committee non-compliance, and sub-$1 stock price create compounding governance and delisting risks. With only 47 employees and no revenue, the company's ability to execute a third Phase 3 trial is questionable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pre-NDA meeting outcome could define a streamlined registrational pathway requiring only one additional Phase 3 trial with LSAS as primary endpoint, potentially accelerating the timeline to commercialization [2]</w:t>
      </w:r>
    </w:p>
    <w:p>
      <w:pPr>
        <w:spacing w:before="40" w:after="40"/>
        <w:ind w:left="283"/>
      </w:pPr>
      <w:r>
        <w:rPr>
          <w:rFonts w:ascii="Calibri" w:hAnsi="Calibri"/>
          <w:b/>
          <w:color w:val="4A6B25"/>
          <w:sz w:val="20"/>
        </w:rPr>
        <w:t xml:space="preserve">2. </w:t>
      </w:r>
      <w:r>
        <w:rPr>
          <w:rFonts w:ascii="Calibri" w:hAnsi="Calibri"/>
          <w:b w:val="0"/>
          <w:color w:val="3A4A28"/>
          <w:sz w:val="20"/>
        </w:rPr>
        <w:t>Pipeline diversification through itruvone Phase 2A positive data in MDD and refisolone Phase 2 for menopausal hot flashes could validate the broader pherine platform beyond social anxiety</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deals to provide non-dilutive capital and commercial capabilities, leveraging the existing AffaMed collaboration model in Greater China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Phase 3 trial for fasedienol could fail, which would likely destroy remaining shareholder value and invalidate the pherine mechanism for anxiety — two consecutive failures have already severely damaged platform credibility [1][2]</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9 months at the $61M annual burn rate will necessitate highly dilutive financing at the current $23M market cap, potentially destroying 50%+ of existing shareholders' ownership [3]</w:t>
      </w:r>
    </w:p>
    <w:p>
      <w:pPr>
        <w:spacing w:before="40" w:after="40"/>
        <w:ind w:left="283"/>
      </w:pPr>
      <w:r>
        <w:rPr>
          <w:rFonts w:ascii="Calibri" w:hAnsi="Calibri"/>
          <w:b/>
          <w:color w:val="4A6B25"/>
          <w:sz w:val="20"/>
        </w:rPr>
        <w:t xml:space="preserve">3. </w:t>
      </w:r>
      <w:r>
        <w:rPr>
          <w:rFonts w:ascii="Calibri" w:hAnsi="Calibri"/>
          <w:b w:val="0"/>
          <w:color w:val="3A4A28"/>
          <w:sz w:val="20"/>
        </w:rPr>
        <w:t>Securities fraud lawsuits, Nasdaq audit committee non-compliance, and sub-$1 stock price create compounding governance and delisting risks that could trigger forced selling and further capital access constraints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Vistagen's core business — developing intranasal pherine-based neuropsychiatric therapies — involves novel drug formulation, multi-year clinical trials, and FDA regulatory pathways that AI cannot substitute [2]. The physical nature of nasal spray drug delivery and stringent regulatory requirements for human clinical trials create structural barriers to AI displacement. However, AI-accelerated drug discovery by competitors (Recursion, Insilico Medicine, Benevolent AI) could compress development timelines for rival anxiety and depression treatments, creating indirect competitive pressure. AI tools are increasingly used in clinical trial design and patient selection, which could advantage better-funded competitors. AI Opportunity (0/1): Vistagen does not generate revenue from AI products or services. The company's clinical development process does not produce quantifiable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Vistagen FY2026 10-K Summary — Revenue $1.27M, Net Loss $69.7M, EPS ($1.83), TradingView, 2026</w:t>
      </w:r>
    </w:p>
    <w:p>
      <w:pPr>
        <w:spacing w:before="20" w:after="20"/>
        <w:ind w:left="170"/>
      </w:pPr>
      <w:r>
        <w:rPr>
          <w:rFonts w:ascii="Calibri" w:hAnsi="Calibri"/>
          <w:b/>
          <w:color w:val="4A6B25"/>
          <w:sz w:val="15"/>
        </w:rPr>
        <w:t xml:space="preserve">2. </w:t>
      </w:r>
      <w:r>
        <w:rPr>
          <w:rFonts w:ascii="Calibri" w:hAnsi="Calibri"/>
          <w:b w:val="0"/>
          <w:color w:val="3A4A28"/>
          <w:sz w:val="17"/>
        </w:rPr>
        <w:t>Vistagen PALISADE-4 Phase 3 Topline Results — Fasedienol Missed Primary Endpoint, Post-Hoc Signal in Very Severe SAD, Business Wire, June 30, 2026</w:t>
      </w:r>
    </w:p>
    <w:p>
      <w:pPr>
        <w:spacing w:before="20" w:after="20"/>
        <w:ind w:left="170"/>
      </w:pPr>
      <w:r>
        <w:rPr>
          <w:rFonts w:ascii="Calibri" w:hAnsi="Calibri"/>
          <w:b/>
          <w:color w:val="4A6B25"/>
          <w:sz w:val="15"/>
        </w:rPr>
        <w:t xml:space="preserve">3. </w:t>
      </w:r>
      <w:r>
        <w:rPr>
          <w:rFonts w:ascii="Calibri" w:hAnsi="Calibri"/>
          <w:b w:val="0"/>
          <w:color w:val="3A4A28"/>
          <w:sz w:val="17"/>
        </w:rPr>
        <w:t>Vistagen Q3 FY2026 Financial Results — R&amp;D Expense $14.2M, Cash $61.8M as of December 2025, February 2026</w:t>
      </w:r>
    </w:p>
    <w:p>
      <w:pPr>
        <w:spacing w:before="20" w:after="20"/>
        <w:ind w:left="170"/>
      </w:pPr>
      <w:r>
        <w:rPr>
          <w:rFonts w:ascii="Calibri" w:hAnsi="Calibri"/>
          <w:b/>
          <w:color w:val="4A6B25"/>
          <w:sz w:val="15"/>
        </w:rPr>
        <w:t xml:space="preserve">4. </w:t>
      </w:r>
      <w:r>
        <w:rPr>
          <w:rFonts w:ascii="Calibri" w:hAnsi="Calibri"/>
          <w:b w:val="0"/>
          <w:color w:val="3A4A28"/>
          <w:sz w:val="17"/>
        </w:rPr>
        <w:t>Vistagen Workforce Reduction 20% and Securities Fraud Lawsuits — DJS Law Group, PR Newswire, March-April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Investing.com — VTGN Financial Ratios, Insider Activity, Balance Sheet,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