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VTR</w:t>
      </w:r>
      <w:r>
        <w:rPr>
          <w:rFonts w:ascii="Calibri" w:hAnsi="Calibri"/>
          <w:b/>
          <w:color w:val="1A2010"/>
          <w:sz w:val="40"/>
        </w:rPr>
        <w:t xml:space="preserve">  Ventas, Inc.</w:t>
      </w:r>
    </w:p>
    <w:p>
      <w:pPr>
        <w:spacing w:after="120"/>
      </w:pPr>
      <w:r>
        <w:rPr>
          <w:rFonts w:ascii="Calibri" w:hAnsi="Calibri"/>
          <w:b/>
          <w:color w:val="6E8450"/>
          <w:sz w:val="18"/>
        </w:rPr>
        <w:t>DIVIDEND SLEEVE · 2026-07-10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Ventas, Inc. is an S&amp;P 500 real estate investment trust (REIT) focused on the longevity economy, owning and managing a diversified portfolio of approximately 800 senior housing communities, outpatient medical buildings, and research centers across the United States and Canada. The world's second-largest owner of senior housing, Ventas has a market capitalization exceeding $40B and has been led by Chairman and CEO Debra Cafaro since 1999. Headquartered in Chicago, Illinois.</w:t>
      </w:r>
    </w:p>
    <w:p>
      <w:r>
        <w:rPr>
          <w:rFonts w:ascii="Calibri" w:hAnsi="Calibri"/>
          <w:b/>
          <w:color w:val="6E8450"/>
          <w:sz w:val="18"/>
        </w:rPr>
        <w:t>600 Employees · https://www.ventasreit.com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Ventas has strategically repositioned its portfolio toward senior housing and away from skilled nursing facilities, with the $540M Revel acquisition and $1.7B year-to-date deployment in senior housing demonstrating active portfolio management [1]. However, the core REIT model of owning and leasing healthcare properties has not fundamentally changed. AI Deployment (0/2): No evidence of AI deployment for property management, tenant analytics, or operational optimization; the company's technology strategy is not discussed in public materials. Market Share (1/2): Ventas is the world's second-largest owner of senior housing, a meaningful competitive position supported by approximately 800 properties and a diverse operator platform, though it trails Welltower in total senior housing assets [1]. Product Pipeline (1/2): Investment guidance raised to $3B for 2026 focused on senior housing acquisitions, providing clear capital deployment pipeline with specific targets, though this is acquisition-driven rather than organic development [1]. R&amp;D Intensity (0/1): REITs have no R&amp;D function; capital deployment serves a similar role but does not qualify as innovation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Ventas frames itself as focused on the 'longevity economy' and 'enriching living environments for the growing older population,' connecting its business to the demographic purpose of supporting aging with dignity [2]. This is specific to its sector and more purposeful than most REITs, but it does not articulate a transformative vision of the future. Community Impact (2/2): Eight-time Nareit Leader in the Light Award winner recognizing sustainability and responsible business practices, and Ventas became the first healthcare REIT to commit to net-zero operational carbon emissions (Scopes 1 and 2) by 2040 with property-specific decarbonization roadmaps for all 800 properties and a 20% water efficiency reduction target by 2030 [2][3]. Employee Retention (1/2): Debra Cafaro's 27-year tenure as CEO is exceptional, growing market cap from $200M to over $40B, and the executive team is rated 'B' (top 30%) on Comparably [2]. Some Indeed reviews note limited career advancement and work-life balance concerns, but overall the leadership is highly stable. Insider Buying (0/2): One insider buy in the past year (Director Michael Embler purchased 2,500 shares at ~$85.51 in June 2026) versus 27 insider sells, indicating net insider selling despite the single purchase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Dividend formula. Note: REIT GAAP metrics structurally penalize this scoring framework because depreciation depresses GAAP earnings (P/FFO of 24.74 is more meaningful than forward PE of 148.17) and inflates the payout ratio (342% GAAP vs. ~53% on FFO basis) [4]. Revenue growth is strong at 23% YoY driven by SHOP same-store cash NOI growth of 15% and 310bps occupancy improvement [1]. Revenue growth 5yr CAGR of approximately 10% benefits from COVID recovery tailwinds. D/E of 100% is manageable for a REIT with $12.79B total debt against a diversified property portfolio. Consecutive years paid of 25+ (never fully suspended, even during COVID) provides the strongest positive metric. 5yr dividend growth CAGR of -9.10% reflects the COVID-era dividend cut from $3.17/year to $1.80/year, now recovering with an 8% increase announced in 2026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Ventas under Debra Cafaro demonstrates several hallmarks of infinite game play: a 27-year leadership tenure that has navigated multiple economic crises, a genuine connection to the purpose of serving the aging population, and courageous capital allocation decisions including investing heavily in senior housing during downturns. The commitment to net-zero carbon by 2040 and eight Leader in the Light awards reflect long-term orientation. However, net insider selling and lack of evidence for worthy rivals mindset constrain the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Ventas' focus on the 'longevity economy' and 'enriching living environments for the growing older population' connects its business to a demographic purpose that transcends quarterly returns [2]. Under Cafaro's 27-year leadership, the company has consistently oriented toward serving seniors' housing needs through multiple market cycles, and the strategic repositioning from skilled nursing to senior housing and research centers reflects purposeful portfolio evolution aligned with this mission. However, the cause has not been tested through transformative sacrifice, and the REIT structure inherently prioritizes financial returns and dividend distributions.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Cafaro's 27-year tenure and the executive team's top-30% Comparably rating suggest a stable, trusted leadership environment [2]. The company describes its culture as 'smart and energetic professionals committed to their goals and each other.' However, some employee reviews cite limited career advancement opportunities and work-life balance challenges, and the REIT's lean corporate structure (approximately 600 employees) with significant property-level operations managed by third parties creates organizational distance between headquarters and frontline workers.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Ventas competes directly with Welltower (the largest senior housing REIT) but there is no public evidence of the company framing this competition as a source of self-improvement. The competitive language in Ventas materials focuses on being the 'second-largest owner of senior housing' and emphasizes its own operational platform rather than acknowledging what Welltower does better or using the rivalry to elevate its own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Ventas has meaningfully evolved its portfolio composition over the past decade, reducing exposure to lower-quality skilled nursing facilities and increasing allocation to senior housing operating partnerships (SHOP) and research centers [1]. The strategic pivot toward senior housing during a period of sector distress, including the $540M Revel acquisition and $3B investment guidance for 2026, represents adaptive capital allocation. However, the company has never abandoned a core business or made a transformative pivot that fundamentally redefined what Ventas is.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Cafaro has demonstrated a consistent pattern of courageous leadership over 27 years: investing aggressively in senior housing during sector downturns when others retreated, maintaining the dividend (reduced but not suspended) through COVID when operators faced existential challenges, committing to net-zero carbon emissions by 2040 as the first healthcare REIT to do so, and deploying $1.7B in senior housing year-to-date in 2026 at a time when real estate investment carries interest rate uncertainty [1][2][3]. The decision to increase investment guidance to $3B demonstrates conviction in the long-term thesis despite macroeconomic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Ventas is a premier play on the aging demographics thesis with Q1 2026 revenue up 23% YoY, SHOP same-store cash NOI growing 15% with 310bps occupancy improvement, and normalized FFO per share guidance raised to $3.82-$3.89 reflecting a fifth consecutive year of double-digit SHOP growth [1]. The company's $3B investment pipeline for 2026 and the $540M Revel acquisition position it to capitalize on the senior housing supply-demand imbalance as the 80+ population grows 4% annually while new construction remains constrained. Eight-time Nareit Leader in the Light winner with net-zero carbon commitment by 2040 and Inspire Insight ALIGNED score of 58 make this a strong values-aligned holding [2][3].</w:t>
      </w:r>
    </w:p>
    <w:p>
      <w:pPr>
        <w:spacing w:after="120"/>
      </w:pPr>
      <w:r>
        <w:rPr>
          <w:rFonts w:ascii="Calibri" w:hAnsi="Calibri"/>
          <w:b w:val="0"/>
          <w:color w:val="3A4A28"/>
          <w:sz w:val="20"/>
        </w:rPr>
        <w:t>The bear case reflects REIT structural challenges in the current framework: GAAP forward PE of 148.17, payout ratio of 342% (both misleading for REITs where P/FFO of 24.74 and FFO-based payout of ~53% are more relevant), and $12.79B total debt create an infrastructure score penalty that understates the operational quality [4]. The 5-year dividend growth CAGR of -9.10% reflects the COVID-era cut from $3.17/year to $1.80/year, and the dividend remains below pre-pandemic levels despite the 8% increase in 2026. Net insider selling (1 buy vs. 27 sells in the past year) raises questions about management conviction at current valuations, and the company's operational model depends heavily on third-party operators for the majority of its properties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Senior housing occupancy recovery continuing with 310bps YoY improvement in Q1 2026, with further upside as the 80+ population grows 4% annually against constrained new supply, potentially driving double-digit NOI growth for multiple years</w:t>
      </w:r>
    </w:p>
    <w:p>
      <w:pPr>
        <w:spacing w:before="40" w:after="40"/>
        <w:ind w:left="283"/>
      </w:pPr>
      <w:r>
        <w:rPr>
          <w:rFonts w:ascii="Calibri" w:hAnsi="Calibri"/>
          <w:b/>
          <w:color w:val="4A6B25"/>
          <w:sz w:val="20"/>
        </w:rPr>
        <w:t xml:space="preserve">2. </w:t>
      </w:r>
      <w:r>
        <w:rPr>
          <w:rFonts w:ascii="Calibri" w:hAnsi="Calibri"/>
          <w:b w:val="0"/>
          <w:color w:val="3A4A28"/>
          <w:sz w:val="20"/>
        </w:rPr>
        <w:t>Investment guidance raised to $3B for 2026 focused on senior housing acquisitions including the $540M Revel deal, scaling the portfolio during a favorable acquisition environment with elevated cap rates</w:t>
      </w:r>
    </w:p>
    <w:p>
      <w:pPr>
        <w:spacing w:before="40" w:after="40"/>
        <w:ind w:left="283"/>
      </w:pPr>
      <w:r>
        <w:rPr>
          <w:rFonts w:ascii="Calibri" w:hAnsi="Calibri"/>
          <w:b/>
          <w:color w:val="4A6B25"/>
          <w:sz w:val="20"/>
        </w:rPr>
        <w:t xml:space="preserve">3. </w:t>
      </w:r>
      <w:r>
        <w:rPr>
          <w:rFonts w:ascii="Calibri" w:hAnsi="Calibri"/>
          <w:b w:val="0"/>
          <w:color w:val="3A4A28"/>
          <w:sz w:val="20"/>
        </w:rPr>
        <w:t>Normalized FFO per share guidance raised to $3.82-$3.89 midpoint, and an 8% dividend increase signals management confidence in continued earnings growth, with potential for accelerating dividend restoration toward pre-COVID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REIT leverage with $12.79B total debt and D/E of 100% creates sensitivity to interest rate movements, and refinancing risk could compress FFO growth if rates remain elevated or rise further</w:t>
      </w:r>
    </w:p>
    <w:p>
      <w:pPr>
        <w:spacing w:before="40" w:after="40"/>
        <w:ind w:left="283"/>
      </w:pPr>
      <w:r>
        <w:rPr>
          <w:rFonts w:ascii="Calibri" w:hAnsi="Calibri"/>
          <w:b/>
          <w:color w:val="4A6B25"/>
          <w:sz w:val="20"/>
        </w:rPr>
        <w:t xml:space="preserve">2. </w:t>
      </w:r>
      <w:r>
        <w:rPr>
          <w:rFonts w:ascii="Calibri" w:hAnsi="Calibri"/>
          <w:b w:val="0"/>
          <w:color w:val="3A4A28"/>
          <w:sz w:val="20"/>
        </w:rPr>
        <w:t>Net insider selling (27 sells vs. 1 buy in past year) and the 5-year dividend growth CAGR of -9.10% (COVID cut impact) may discourage income-oriented investors seeking reliable dividend growth track records</w:t>
      </w:r>
    </w:p>
    <w:p>
      <w:pPr>
        <w:spacing w:before="40" w:after="40"/>
        <w:ind w:left="283"/>
      </w:pPr>
      <w:r>
        <w:rPr>
          <w:rFonts w:ascii="Calibri" w:hAnsi="Calibri"/>
          <w:b/>
          <w:color w:val="4A6B25"/>
          <w:sz w:val="20"/>
        </w:rPr>
        <w:t xml:space="preserve">3. </w:t>
      </w:r>
      <w:r>
        <w:rPr>
          <w:rFonts w:ascii="Calibri" w:hAnsi="Calibri"/>
          <w:b w:val="0"/>
          <w:color w:val="3A4A28"/>
          <w:sz w:val="20"/>
        </w:rPr>
        <w:t>Operator concentration risk as less than half of Ventas properties are under direct operational control, with performance dependent on third-party operators' ability to manage labor costs, occupancy, and care quality across approximately 800 communities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Senior housing communities, outpatient medical buildings, and research centers are physical-world assets that AI structurally cannot displace. The aging demographics driving demand for senior housing are biological, not technological, and the need for physical care environments for elderly populations will only increase as the Baby Boom generation ages [1]. Healthcare delivery requires in-person clinical interaction and licensed facilities that cannot be replaced by digital alternatives. AI may even increase demand for Ventas's research center properties as life sciences companies deploy AI to accelerate drug discovery, requiring more physical lab and office space. AI Opportunity (0/1): Ventas generates no AI-related revenue and does not sell AI products or services. Any AI benefit is indirect through increased demand for research facilities.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Ventas Q1 2026 Earnings Release, Full-Year 2026 Guidance, and SHOP Performance — ventasreit.com, April 2026</w:t>
      </w:r>
    </w:p>
    <w:p>
      <w:pPr>
        <w:spacing w:before="20" w:after="20"/>
        <w:ind w:left="170"/>
      </w:pPr>
      <w:r>
        <w:rPr>
          <w:rFonts w:ascii="Calibri" w:hAnsi="Calibri"/>
          <w:b/>
          <w:color w:val="4A6B25"/>
          <w:sz w:val="15"/>
        </w:rPr>
        <w:t xml:space="preserve">2. </w:t>
      </w:r>
      <w:r>
        <w:rPr>
          <w:rFonts w:ascii="Calibri" w:hAnsi="Calibri"/>
          <w:b w:val="0"/>
          <w:color w:val="3A4A28"/>
          <w:sz w:val="17"/>
        </w:rPr>
        <w:t>Nareit — Ventas Eight-Time Leader in the Light Award Winner and CEO Debra Cafaro Profile, 2024-2026</w:t>
      </w:r>
    </w:p>
    <w:p>
      <w:pPr>
        <w:spacing w:before="20" w:after="20"/>
        <w:ind w:left="170"/>
      </w:pPr>
      <w:r>
        <w:rPr>
          <w:rFonts w:ascii="Calibri" w:hAnsi="Calibri"/>
          <w:b/>
          <w:color w:val="4A6B25"/>
          <w:sz w:val="15"/>
        </w:rPr>
        <w:t xml:space="preserve">3. </w:t>
      </w:r>
      <w:r>
        <w:rPr>
          <w:rFonts w:ascii="Calibri" w:hAnsi="Calibri"/>
          <w:b w:val="0"/>
          <w:color w:val="3A4A28"/>
          <w:sz w:val="17"/>
        </w:rPr>
        <w:t>Ventas Net-Zero Carbon Commitment and Sustainability Initiatives — Nareit Blog and ventasreit.com,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GuruFocus — VTR Key Statistics and Financial Ratios,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StockTitan / Meyka — VTR Insider Trading Activity and Director Share Purchases,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