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WEC</w:t>
      </w:r>
      <w:r>
        <w:rPr>
          <w:rFonts w:ascii="Calibri" w:hAnsi="Calibri"/>
          <w:b/>
          <w:color w:val="1A2010"/>
          <w:sz w:val="40"/>
        </w:rPr>
        <w:t xml:space="preserve">  WEC Energy Group, Inc.</w:t>
      </w:r>
    </w:p>
    <w:p>
      <w:pPr>
        <w:spacing w:after="120"/>
      </w:pPr>
      <w:r>
        <w:rPr>
          <w:rFonts w:ascii="Calibri" w:hAnsi="Calibri"/>
          <w:b/>
          <w:color w:val="6E8450"/>
          <w:sz w:val="18"/>
        </w:rPr>
        <w:t>DIVIDEND SLEEVE · 2026-07-15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&amp; Gas · NYSE · United States</w:t>
      </w:r>
    </w:p>
    <w:p>
      <w:pPr>
        <w:spacing w:after="80"/>
      </w:pPr>
      <w:r>
        <w:rPr>
          <w:rFonts w:ascii="Calibri" w:hAnsi="Calibri"/>
          <w:b w:val="0"/>
          <w:color w:val="3A4A28"/>
          <w:sz w:val="20"/>
        </w:rPr>
        <w:t>WEC Energy Group is a regulated utility holding company providing electric and natural gas services to 4.7 million customers across Wisconsin, Illinois, Michigan, and Minnesota through subsidiaries including Wisconsin Electric Power Company, Wisconsin Gas, and We Energies. The company operates 72,800 miles of electric distribution lines and 48,500 miles of natural gas distribution and transmission lines, with a $37.5B capital plan focused on renewables and infrastructure modernization.</w:t>
      </w:r>
    </w:p>
    <w:p>
      <w:r>
        <w:rPr>
          <w:rFonts w:ascii="Calibri" w:hAnsi="Calibri"/>
          <w:b/>
          <w:color w:val="6E8450"/>
          <w:sz w:val="18"/>
        </w:rPr>
        <w:t>7,500 Employees · https://www.wecenergygroup.com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WEC Energy's $37.5B capital plan includes significant investment in renewable energy (solar, wind, battery storage) and grid modernization, representing a meaningful but industry-standard transition from fossil fuels [2]. This is incremental evolution driven by regulatory mandates and economics, not a transformative pivot that differentiates WEC from utility peers. AI Deployment (0/2): No evidence of AI-powered products, services, or quantified AI-driven operational efficiencies was identified. Smart grid and AMI meter technology deployments exist but are standard utility infrastructure, not AI-differentiated offerings [2]. Market Share (1/2): WEC is the dominant regulated utility in its Wisconsin service territory, serving 4.7M customers with limited competition by regulatory design. Market 'share' is structurally protected but not earned through competitive dynamics [2]. Product Pipeline (1/2): The $37.5B capital plan provides specific investment visibility through 2030+, with renewable generation projects, transmission upgrades, and grid modernization on defined timelines. However, these are infrastructure investments, not products in a traditional sense. R&amp;D Intensity (0/1): Utilities are among the least R&amp;D-intensive industries, and WEC's capital spending is focused on infrastructure deployment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WEC Energy describes its purpose as 'providing vital services' to customers and communities across four Midwestern states. This is clear and identifies a genuine social function — reliable energy is essential — but it is interchangeable with any regulated utility's positioning and does not articulate a distinctive vision [2]. Community Impact (1/2): As a regulated utility serving 4.7M customers, WEC has an inherent community role including community investment programs, charitable giving, and local economic support, though specific foundation programs or dollar amounts were not prominent in research. Employee Retention (1/2): Utility companies typically have above-average employee retention due to competitive compensation, pensions, and stable employment. Scott Lauber's CEO tenure since 2022 provides continuity, and the naming of predecessor Gale Klappa as Chairman Emeritus signals a culture that values long-term leadership [2]. Insider Buying (0/2): No evidence of meaningful insider buying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and WEC Energy excels across most dividend infrastructure metrics. ROE of 23.2% significantly exceeds the 15% target and is 96% above WEC's own 10-year median, demonstrating strong capital efficiency for a regulated utility [4][5]. Net margin of 17.8% approaches the 20% target, well above utility peer averages. Forward P/E of ~21x just misses the 20x target, reflecting the premium valuation investors assign to WEC's execution consistency. The dividend profile is strong: 22 consecutive years of increases, 3.38% current yield, and 6.7% most recent increase (7.6% ten-year average CAGR) [3]. Payout ratio of ~69% is above the 40% target but within WEC's stated 65-70% target range — appropriate for a regulated utility with visible earnings [2][3]. The key weakness is D/E of 151% ($21.2B total debt), which is typical for capital-intensive regulated utilities but scores below the 70% target. Revenue growth is modest — approximately 3% YoY and similar 5-year CAGR — reflecting the regulated rate-case-driven growth model [4]. WEC has met or exceeded the top end of earnings guidance for 22 consecutive years, demonstrating exceptional execution consistency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WEC Energy Group operates with the steady, long-term orientation characteristic of well-managed regulated utilities — 22 consecutive years of dividend increases, 22 years of meeting or exceeding earnings guidance, and a $37.5B capital plan stretching into the 2030s demonstrate genuine long-horizon thinking. The clean energy transition investment reflects a willingness to evolve the generation fleet for future relevance. However, regulated utilities are inherently constrained in their ability to demonstrate Sinek's infinite game characteristics — they don't have Just Causes that transcend their regulated mandate, they don't face competitive threats requiring existential flexibility, and their strategic decisions are heavily shaped by regulators rather than leadership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WEC's implicit purpose — providing reliable, affordable energy to 4.7M Midwestern customers while transitioning to cleaner generation — is genuine and connects the company to community wellbeing. The $37.5B capital plan for renewables and infrastructure demonstrates commitment to a multi-decade energy transition that extends well beyond quarterly earnings [2]. However, this cause is mandated by regulators and economics as much as by leadership conviction — every regulated utility is pursuing a similar transition, making it difficult to attribute this to a distinctive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WEC's leadership stability is notable — Gale Klappa's long tenure as Chairman (now Chairman Emeritus), Scott Lauber's promotion from within to CEO in 2022, and the orderly transition suggest a stable, trusting culture [2]. The company's 22-year streak of meeting or exceeding guidance implies a high-functioning organization where teams execute reliably. Utility cultures generally feature long employee tenures and above-average benefits. However, no specific data on employee empowerment, psychological safety, or cultural practices distinguishes WEC from typical utility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exclusive service territories, WEC does not have direct competitors in the traditional sense. The company does not discuss worthy rivals because it does not face competitive threats to its core business. Any competitive language focuses on being 'among the best total returns in the industry' — a ranking mindset, not a learning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WEC is executing a meaningful generation fleet transition from coal and natural gas toward solar, wind, and battery storage as part of its $37.5B capital plan [2]. This represents a genuine strategic evolution of the company's asset base. However, this transition is driven by regulatory mandates, declining renewable costs, and investor expectations rather than a voluntary pivot in service of a Just Cause — every major US utility is pursuing a similar transition, making it an industry requirement rather than a differentiating act of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WEC's $37.5B capital plan and 6.7% dividend increase demonstrate willingness to invest heavily for the long term, and the company's consistent 7-8% EPS growth guidance over the next five years shows confidence in the capital deployment strategy [2][4]. The commitment to maintaining the 65-70% payout ratio while funding aggressive capital spending requires disciplined financial management. However, these investments earn regulated returns with minimal risk — the 'courage' is limited when regulators guarantee cost recovery on approved capital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WEC Energy Group is a best-in-class regulated utility offering a compelling combination of income, growth, and execution reliability. The company has delivered or exceeded the top end of earnings guidance for 22 consecutive years — an extraordinary track record that justifies the premium valuation [2]. At 3.38% current yield with 22 consecutive years of dividend increases at a 7.6% ten-year CAGR, the dividend provides a growing income stream with strong coverage from regulated earnings growing at a guided 7-8% CAGR [2][3]. Q1 2026 EPS of $2.45 beat consensus by 5.6%, and the $37.5B capital plan provides visible earnings growth drivers through 2030+ [2]. ROE of 23.2% is exceptional for a regulated utility, and the 4.7M customer base across four Midwestern states provides a stable, diversified earnings foundation. AI-driven electricity demand from data centers represents an incremental growth catalyst for WEC's generation and transmission investments.</w:t>
      </w:r>
    </w:p>
    <w:p>
      <w:pPr>
        <w:spacing w:after="120"/>
      </w:pPr>
      <w:r>
        <w:rPr>
          <w:rFonts w:ascii="Calibri" w:hAnsi="Calibri"/>
          <w:b w:val="0"/>
          <w:color w:val="3A4A28"/>
          <w:sz w:val="20"/>
        </w:rPr>
        <w:t>The primary risk is the leveraged balance sheet and valuation premium. D/E of 151% and $21.2B in total debt create sensitivity to interest rate movements — rising rates increase borrowing costs on the $37.5B capital plan while compressing the utility sector's valuation premium versus fixed income alternatives [4][5]. The forward P/E of 21x and payout ratio of 69% leave limited margin of safety if earnings growth slows below the 7-8% guidance range. Revenue growth of ~3% reflects the inherent constraint of regulated rate-case-driven pricing — WEC's earnings growth comes from capital deployment and authorized ROE, not organic revenue acceleration [4]. The current ratio of 0.5x signals near-term liquidity tightness that, while typical for utilities, creates refinancing dependency. If regulators deny or delay rate case approvals, or if construction costs on the renewables capital plan escalate, the carefully calibrated earnings-growth-to-dividend-payout equation could be disrupted.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incremental generation and transmission investment opportunities beyond the current $37.5B capital plan, with potential for accelerated rate base growth</w:t>
      </w:r>
    </w:p>
    <w:p>
      <w:pPr>
        <w:spacing w:before="40" w:after="40"/>
        <w:ind w:left="283"/>
      </w:pPr>
      <w:r>
        <w:rPr>
          <w:rFonts w:ascii="Calibri" w:hAnsi="Calibri"/>
          <w:b/>
          <w:color w:val="4A6B25"/>
          <w:sz w:val="20"/>
        </w:rPr>
        <w:t xml:space="preserve">2. </w:t>
      </w:r>
      <w:r>
        <w:rPr>
          <w:rFonts w:ascii="Calibri" w:hAnsi="Calibri"/>
          <w:b w:val="0"/>
          <w:color w:val="3A4A28"/>
          <w:sz w:val="20"/>
        </w:rPr>
        <w:t>Continued earnings guidance beats extending the 22-year streak of meeting or exceeding the top end of guidance, reinforcing the valuation premium versus utility peers</w:t>
      </w:r>
    </w:p>
    <w:p>
      <w:pPr>
        <w:spacing w:before="40" w:after="40"/>
        <w:ind w:left="283"/>
      </w:pPr>
      <w:r>
        <w:rPr>
          <w:rFonts w:ascii="Calibri" w:hAnsi="Calibri"/>
          <w:b/>
          <w:color w:val="4A6B25"/>
          <w:sz w:val="20"/>
        </w:rPr>
        <w:t xml:space="preserve">3. </w:t>
      </w:r>
      <w:r>
        <w:rPr>
          <w:rFonts w:ascii="Calibri" w:hAnsi="Calibri"/>
          <w:b w:val="0"/>
          <w:color w:val="3A4A28"/>
          <w:sz w:val="20"/>
        </w:rPr>
        <w:t>Regulatory approval of renewable generation projects and transmission investments under the capital plan, converting planned capital spending into earnings-accretive rate base additions at authorized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interest rates increasing borrowing costs on $21.2B of existing debt and the $37.5B capital plan, compressing margins and making utility dividend yields less attractive relative to fixed income alternatives</w:t>
      </w:r>
    </w:p>
    <w:p>
      <w:pPr>
        <w:spacing w:before="40" w:after="40"/>
        <w:ind w:left="283"/>
      </w:pPr>
      <w:r>
        <w:rPr>
          <w:rFonts w:ascii="Calibri" w:hAnsi="Calibri"/>
          <w:b/>
          <w:color w:val="4A6B25"/>
          <w:sz w:val="20"/>
        </w:rPr>
        <w:t xml:space="preserve">2. </w:t>
      </w:r>
      <w:r>
        <w:rPr>
          <w:rFonts w:ascii="Calibri" w:hAnsi="Calibri"/>
          <w:b w:val="0"/>
          <w:color w:val="3A4A28"/>
          <w:sz w:val="20"/>
        </w:rPr>
        <w:t>Regulatory risk — denial or delay of rate case filings in Wisconsin, Illinois, Michigan, or Minnesota could create a gap between capital spending and authorized earnings recovery, pressuring the 69% payout ratio</w:t>
      </w:r>
    </w:p>
    <w:p>
      <w:pPr>
        <w:spacing w:before="40" w:after="40"/>
        <w:ind w:left="283"/>
      </w:pPr>
      <w:r>
        <w:rPr>
          <w:rFonts w:ascii="Calibri" w:hAnsi="Calibri"/>
          <w:b/>
          <w:color w:val="4A6B25"/>
          <w:sz w:val="20"/>
        </w:rPr>
        <w:t xml:space="preserve">3. </w:t>
      </w:r>
      <w:r>
        <w:rPr>
          <w:rFonts w:ascii="Calibri" w:hAnsi="Calibri"/>
          <w:b w:val="0"/>
          <w:color w:val="3A4A28"/>
          <w:sz w:val="20"/>
        </w:rPr>
        <w:t>Construction cost escalation on renewable energy and grid modernization projects squeezing earned ROE below authorized levels, degrading the return profile that has driven WEC's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WEC Energy Group operates a regulated electric and natural gas utility — one of the most AI-immune business models in existence. AI cannot replace physical power generation, transmission lines, distribution infrastructure, natural gas pipelines, or the regulatory framework that governs utility operations [2]. The business requires massive physical infrastructure ($37.5B capital plan), complex regulatory relationships across four state jurisdictions, and real-time grid management that AI can augment but never substitute. Critically, AI is a direct demand tailwind: the proliferation of AI data centers is driving unprecedented growth in electricity demand, and utilities like WEC are the direct beneficiaries as they build generation and transmission capacity to serve these new loads. Goldman Sachs estimates US power demand will grow 2.4% annually through 2030, the fastest rate in two decades, driven largely by AI data center construction. AI Opportunity (0/1): WEC does not generate revenue from AI products or services. While AI increases electricity demand (an indirect benefit), WEC has no AI-specific revenue streams, products, or quantified AI-driven operational savings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WEC Energy Group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WEC Energy Group 2025 Annual Report: $37.5B Capital Plan, 22-Year Guidance Streak, Leadership Transitions — SEC ARS, March 2026</w:t>
      </w:r>
    </w:p>
    <w:p>
      <w:pPr>
        <w:spacing w:before="20" w:after="20"/>
        <w:ind w:left="170"/>
      </w:pPr>
      <w:r>
        <w:rPr>
          <w:rFonts w:ascii="Calibri" w:hAnsi="Calibri"/>
          <w:b/>
          <w:color w:val="4A6B25"/>
          <w:sz w:val="15"/>
        </w:rPr>
        <w:t xml:space="preserve">3. </w:t>
      </w:r>
      <w:r>
        <w:rPr>
          <w:rFonts w:ascii="Calibri" w:hAnsi="Calibri"/>
          <w:b w:val="0"/>
          <w:color w:val="3A4A28"/>
          <w:sz w:val="17"/>
        </w:rPr>
        <w:t>WEC Energy Group Dividend Increase Announcement: 6.7% Increase to $3.81 Annual Rate — PR Newswire, January 2026</w:t>
      </w:r>
    </w:p>
    <w:p>
      <w:pPr>
        <w:spacing w:before="20" w:after="20"/>
        <w:ind w:left="170"/>
      </w:pPr>
      <w:r>
        <w:rPr>
          <w:rFonts w:ascii="Calibri" w:hAnsi="Calibri"/>
          <w:b/>
          <w:color w:val="4A6B25"/>
          <w:sz w:val="15"/>
        </w:rPr>
        <w:t xml:space="preserve">4. </w:t>
      </w:r>
      <w:r>
        <w:rPr>
          <w:rFonts w:ascii="Calibri" w:hAnsi="Calibri"/>
          <w:b w:val="0"/>
          <w:color w:val="3A4A28"/>
          <w:sz w:val="17"/>
        </w:rPr>
        <w:t>WEC Energy Group EPS Growth Outlook and Valuation Analysis — GuruFocus,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WEC Key Statistics, Valuation Measures, and Balance Sheet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