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WFRD</w:t>
      </w:r>
      <w:r>
        <w:rPr>
          <w:rFonts w:ascii="Calibri" w:hAnsi="Calibri"/>
          <w:b/>
          <w:color w:val="1A2010"/>
          <w:sz w:val="40"/>
        </w:rPr>
        <w:t xml:space="preserve">  Weatherford International plc</w:t>
      </w:r>
    </w:p>
    <w:p>
      <w:pPr>
        <w:spacing w:after="120"/>
      </w:pPr>
      <w:r>
        <w:rPr>
          <w:rFonts w:ascii="Calibri" w:hAnsi="Calibri"/>
          <w:b/>
          <w:color w:val="6E8450"/>
          <w:sz w:val="18"/>
        </w:rPr>
        <w:t>GROWTH SLEEVE · 2026-08-03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Weatherford International plc is a global energy services company providing equipment and services for drilling, evaluation, completion, production, and intervention of oil, geothermal, and natural gas wells. Operating through Drilling and Evaluation, Well Construction and Completions, and Production and Intervention segments, the company serves operators worldwide with a portfolio spanning managed pressure drilling, directional drilling, artificial lift systems, and digital solutions. Emerged from Chapter 11 bankruptcy in December 2019 and has since executed a significant operational turnaround under CEO Girish Saligram.</w:t>
      </w:r>
    </w:p>
    <w:p>
      <w:r>
        <w:rPr>
          <w:rFonts w:ascii="Calibri" w:hAnsi="Calibri"/>
          <w:b/>
          <w:color w:val="6E8450"/>
          <w:sz w:val="18"/>
        </w:rPr>
        <w:t>18,000 Employees · https://www.weatherford.com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Weatherford executed a genuine business model transformation post-bankruptcy, evolving from a distressed legacy services company into a technology-differentiated operator under CEO Saligram. The Industrial Intelligence digital portfolio launched at FWRD 2025 includes edge automation, digital twins, and AI-powered platforms, while the Victus intelligent MPD system secured a major multi-well Woodside Trion deepwater contract [1][2]. AI Deployment (1/2): Weatherford has deployed AI commercially through its DataRobot partnership (since 2022) and AIQ collaboration for AI-driven operational systems, with the Industrial Intelligence platform shipping to customers [2]. However, no specific AI revenue figures have been quantified separately from segment reporting in Q2 2026. Market Share (1/2): Weatherford is the third- or fourth-largest diversified oilfield services company globally behind SLB, Halliburton, and Baker Hughes — a meaningful player with niche leadership in managed pressure drilling but not a category-defining leader [1]. Pipeline (1/2): The Industrial Intelligence platform, Victus MPD system, and geothermal services expansion represent next-generation product development, but specific launch timelines and revenue visibility remain vague [2]. R&amp;D Intensity (1/1): Weatherford invests meaningfully in digital transformation with dedicated AI partnerships (DataRobot, TCS, AIQ) and technology teams, placing R&amp;D intensity above the oilfield services peer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Weatherford's stated mission to 'address the headwinds facing the industry, revolutionize the oilfield with digital technology, integrated solutions, and world-class talent' is clear about what the company does and for whom, but does not articulate a deeper purpose beyond operational excellence in energy services — it is interchangeable with any technology-focused peer in the sector [3]. Community Impact (0/2): No specific philanthropic programs, foundation activities, or community investment dollar amounts were identified beyond standard corporate sustainability reporting and UN Global Compact participation [4]. Employee Retention (1/2): CEO Saligram has led the company for six years, providing leadership stability. Comparably rates the leadership team at C+ (67/100) based on 237 ratings, placing Weatherford in the top 50% of companies with 10,000+ employees [3]. Average retention metrics for the sector with no exceptional data. Insider Buying (1/2): CEO Saligram maintains meaningful equity holdings through compensation-linked stock. No evidence of significant discretionary insider buying beyond compensation-related awards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82.77% scores 0.94 against the 300% floor, reflecting post-bankruptcy balance sheet discipline [1]. ROE of 22.2% exceeds the 15% target (scores 1.0, weighted 2x for growth), though down from 30.8% in Q1 due to Q2 2026 earnings compression [1]. Revenue declined approximately 6% YoY in H1 2026 — Q1 down 3%, Q2 down 8.2% to $1.105B — as global oilfield activity softened amid commodity price uncertainty (scores 0.47) [1][2]. Five-year revenue CAGR of 4.3% reflects post-bankruptcy recovery growth partially offset by 2025-2026 cyclical downturn (scores 0.62, weighted 2x) [1]. Forward P/E of 13.86 is well below the 20 target (scores 1.0), reflecting the stock's 25% decline from April highs [1]. Profit margin of 7.89% is below the 20% target (scores 0.39), characteristic of capital-intensive oilfield services [1]. Forward PEG excluded due to negative earnings growth trajectory. Liquidity: 1.24M avg daily volume x $82.75 = $102.6M,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Weatherford operates with a primarily finite mindset, understandably shaped by its 2019 bankruptcy and subsequent focus on financial recovery. CEO Saligram's leadership has prioritized operational discipline, margin improvement, and free cash flow generation — all necessary but inherently finite objectives. The company's communications emphasize shareholder returns, earnings beats, and competitive positioning rather than a transcendent purpose. The 50+ year company history provides longevity, but the bankruptcy reset much of the institutional foundation, and the post-recovery strategic narrative centers on winning market share rather than advancing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Weatherford's mission to 'revolutionize the oilfield with digital technology' functions as a strategic objective rather than a Just Cause in Sinek's framework. It describes what the company does, not a vision of a better future worth sacrificing for [3]. Post-bankruptcy, the implicit mission has been financial recovery and value restoration — legitimate but finite. No evidence that strategic decisions are guided by a purpose beyond profitability and operational excellence.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Saligram's six-year tenure provides leadership stability, and the Comparably C+ rating (67/100) suggests adequate organizational trust [3]. Recent leadership additions (CFO Dhruv 2025, COO Ward 2024) demonstrate ability to attract experienced talent. However, 18,000 employees spread globally across field operations face the structural trust challenges of oilfield services — rotating crews, remote locations, and compliance-heavy safety culture. No evidence of exceptional employee empowerment or above-average retention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Weatherford's competitive language focuses on winning market share against SLB, Halliburton, and Baker Hughes through technology differentiation and integrated solutions. The framing emphasizes 'outperforming' rivals rather than learning from their strengths [1]. No evidence of management publicly acknowledging competitors' advantages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Weatherford's post-bankruptcy transformation involved shedding $6.2B in debt, divesting non-core businesses (including Argentina pressure pumping in 2025), and pivoting from a legacy services model toward a technology-differentiated platform with digital solutions [1][4]. This represents meaningful business model evolution. However, the initial pivot was driven by financial distress rather than a Just Cause — in Sinek's framework, desperation-driven transformation earns partial credit but not full marks for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Saligram invested aggressively in digital transformation and AI capabilities (Industrial Intelligence platform, DataRobot partnership, TCS collaboration) while competitors focused on traditional service delivery, showing willingness to sacrifice near-term margins for long-term capability [2]. The divestiture of Argentina pressure pumping, walking away from revenue to simplify the portfolio, demonstrated prioritizing strategic clarity over short-term revenue [1]. However, most decisions have been rational operator responses rather than costly, conviction-driven bets against market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Weatherford trades at an attractive 13.86x forward P/E — a 45% discount to its historical average — with 22.2% ROE and strong free cash flow conversion (62.3% of adjusted EBITDA in Q2 2026) [1][2]. The post-bankruptcy balance sheet is disciplined (D/E 82.77%), and the company's AI-powered Industrial Intelligence platform and Victus MPD system provide genuine technology differentiation against SLB and Halliburton [2]. Adjusted free cash flow of $139M in Q2 2026 alone supports the dividend program ($0.275/quarter) and continued share repurchases, creating a shareholder return floor even in a weak cyclical environment.</w:t>
      </w:r>
    </w:p>
    <w:p>
      <w:pPr>
        <w:spacing w:after="120"/>
      </w:pPr>
      <w:r>
        <w:rPr>
          <w:rFonts w:ascii="Calibri" w:hAnsi="Calibri"/>
          <w:b w:val="0"/>
          <w:color w:val="3A4A28"/>
          <w:sz w:val="20"/>
        </w:rPr>
        <w:t>The bear case has strengthened materially: Q2 2026 revenue of $1.105B declined 8.2% YoY — accelerating from Q1's 3% decline — while net income collapsed to $39M ($0.55 EPS) from a year-ago level that was multiples higher [1][2]. Analysts forecast a 4.2% annualized revenue decline through year-end as global E&amp;P spending softens. Profit margin of 7.89% is structurally limited by oilfield services economics, and the company remains third or fourth in scale behind SLB and Halliburton, constraining pricing power and negotiating leverage with major operators. The dividend yield of 1.13% is insufficient for income investors, the 3-year payment history provides no track record assurance, and the 2019 bankruptcy demonstrates that Weatherford's dividends can disappear entirely when cycles turn. A sustained oil price decline below $60/bbl would pressure the entire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recovery in global upstream capital expenditure driven by OPEC+ production adjustments and growing energy demand from AI data center buildouts, potentially reversing the revenue decline trajectory in 2027</w:t>
      </w:r>
    </w:p>
    <w:p>
      <w:pPr>
        <w:spacing w:before="40" w:after="40"/>
        <w:ind w:left="283"/>
      </w:pPr>
      <w:r>
        <w:rPr>
          <w:rFonts w:ascii="Calibri" w:hAnsi="Calibri"/>
          <w:b/>
          <w:color w:val="4A6B25"/>
          <w:sz w:val="20"/>
        </w:rPr>
        <w:t xml:space="preserve">2. </w:t>
      </w:r>
      <w:r>
        <w:rPr>
          <w:rFonts w:ascii="Calibri" w:hAnsi="Calibri"/>
          <w:b w:val="0"/>
          <w:color w:val="3A4A28"/>
          <w:sz w:val="20"/>
        </w:rPr>
        <w:t>Expanding adoption of Industrial Intelligence platform and AI-powered Victus MPD system driving margin expansion and competitive differentiation against scale-advantaged peers like SLB and Halliburton</w:t>
      </w:r>
    </w:p>
    <w:p>
      <w:pPr>
        <w:spacing w:before="40" w:after="40"/>
        <w:ind w:left="283"/>
      </w:pPr>
      <w:r>
        <w:rPr>
          <w:rFonts w:ascii="Calibri" w:hAnsi="Calibri"/>
          <w:b/>
          <w:color w:val="4A6B25"/>
          <w:sz w:val="20"/>
        </w:rPr>
        <w:t xml:space="preserve">3. </w:t>
      </w:r>
      <w:r>
        <w:rPr>
          <w:rFonts w:ascii="Calibri" w:hAnsi="Calibri"/>
          <w:b w:val="0"/>
          <w:color w:val="3A4A28"/>
          <w:sz w:val="20"/>
        </w:rPr>
        <w:t>Continued free cash flow generation at 60%+ EBITDA conversion enabling accelerated share repurchases at the current depressed valuation, with potential for dividend growth as the cycle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revenue decline — Q2 2026 was down 8.2% YoY versus Q1's 3% decline — with no visible inflection point; continued E&amp;P capex cuts could drive further margin compression as fixed costs spread across fewer projects</w:t>
      </w:r>
    </w:p>
    <w:p>
      <w:pPr>
        <w:spacing w:before="40" w:after="40"/>
        <w:ind w:left="283"/>
      </w:pPr>
      <w:r>
        <w:rPr>
          <w:rFonts w:ascii="Calibri" w:hAnsi="Calibri"/>
          <w:b/>
          <w:color w:val="4A6B25"/>
          <w:sz w:val="20"/>
        </w:rPr>
        <w:t xml:space="preserve">2. </w:t>
      </w:r>
      <w:r>
        <w:rPr>
          <w:rFonts w:ascii="Calibri" w:hAnsi="Calibri"/>
          <w:b w:val="0"/>
          <w:color w:val="3A4A28"/>
          <w:sz w:val="20"/>
        </w:rPr>
        <w:t>Structural scale disadvantage as the #3-4 oilfield services company — SLB and Halliburton's procurement, R&amp;D, and customer relationship advantages limit Weatherford's ability to compete for large integrated contracts in a contracting market</w:t>
      </w:r>
    </w:p>
    <w:p>
      <w:pPr>
        <w:spacing w:before="40" w:after="40"/>
        <w:ind w:left="283"/>
      </w:pPr>
      <w:r>
        <w:rPr>
          <w:rFonts w:ascii="Calibri" w:hAnsi="Calibri"/>
          <w:b/>
          <w:color w:val="4A6B25"/>
          <w:sz w:val="20"/>
        </w:rPr>
        <w:t xml:space="preserve">3. </w:t>
      </w:r>
      <w:r>
        <w:rPr>
          <w:rFonts w:ascii="Calibri" w:hAnsi="Calibri"/>
          <w:b w:val="0"/>
          <w:color w:val="3A4A28"/>
          <w:sz w:val="20"/>
        </w:rPr>
        <w:t>Cyclical vulnerability with limited financial cushion — the 2019 bankruptcy demonstrates Weatherford's exposure to prolonged downturns, and while the balance sheet is healthier today (D/E 82.77%), a multi-year commodity price slump could again pressure the capital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Weatherford's core business involves deploying physical equipment and personnel at well sites for drilling, completions, and production operations — activities AI structurally cannot perform [1]. Oilfield services require specialized hardware (drilling tools, completion systems, artificial lift), on-site technicians, and real-time physical interventions in harsh environments (downhole, deepwater, high-pressure) that no AI system can replicate. Regulatory requirements, safety certifications, and classified reservoir data create additional moats. The modest risk is that AI could automate some engineering analysis and well-planning services, reducing labor content in advisory work. However, physical service delivery — which constitutes the vast majority of revenue — remains AI-immune [3]. AI Opportunity (1/1): Weatherford generates revenue from AI-integrated products including the Industrial Intelligence platform, AI-powered Victus MPD system (Woodside Trion contract), and DataRobot/AIQ analytics partnerships [2]. CEO Saligram has positioned AI as central to competitive differentiation, though specific AI revenue figures are not broken 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Weatherford International Q2 2026 Earnings Release, 10-Q Filing, and 8-K — TradingView,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Weatherford International Q2 2026 Earnings Call Highlights and Analyst Commentary — MarketBeat, Yahoo Finance, 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Weatherford International Leadership, Culture, and Digital Strategy — Weatherford.com, Comparably,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Weatherford International ESG and Sustainability Report — Weatherford.com, 3BL Media, CSRHub, 1792 Exchange,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