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WHR</w:t>
      </w:r>
      <w:r>
        <w:rPr>
          <w:rFonts w:ascii="Calibri" w:hAnsi="Calibri"/>
          <w:b/>
          <w:color w:val="1A2010"/>
          <w:sz w:val="40"/>
        </w:rPr>
        <w:t xml:space="preserve">  Whirlpool Corporation</w:t>
      </w:r>
    </w:p>
    <w:p>
      <w:pPr>
        <w:spacing w:after="120"/>
      </w:pPr>
      <w:r>
        <w:rPr>
          <w:rFonts w:ascii="Calibri" w:hAnsi="Calibri"/>
          <w:b/>
          <w:color w:val="6E8450"/>
          <w:sz w:val="18"/>
        </w:rPr>
        <w:t>DIVIDEND SLEEVE · 2026-07-13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Household Durables · NYSE · United States</w:t>
      </w:r>
    </w:p>
    <w:p>
      <w:pPr>
        <w:spacing w:after="80"/>
      </w:pPr>
      <w:r>
        <w:rPr>
          <w:rFonts w:ascii="Calibri" w:hAnsi="Calibri"/>
          <w:b w:val="0"/>
          <w:color w:val="3A4A28"/>
          <w:sz w:val="20"/>
        </w:rPr>
        <w:t>Whirlpool Corporation is a global manufacturer of home appliances including washing machines, dryers, refrigerators, dishwashers, and cooking products under the Whirlpool, Maytag, KitchenAid, and other brands. Following the 2024 divestiture of its European operations to Arcelik, the company is primarily focused on North America and select international markets. Founded in 1911, headquartered in Benton Harbor, Michigan.</w:t>
      </w:r>
    </w:p>
    <w:p>
      <w:r>
        <w:rPr>
          <w:rFonts w:ascii="Calibri" w:hAnsi="Calibri"/>
          <w:b/>
          <w:color w:val="6E8450"/>
          <w:sz w:val="18"/>
        </w:rPr>
        <w:t>55,000 Employees · https://www.whirlpoolcorp.com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meaningful product launches, market pivots, or business model transformations in the past 5 years; the core business remains conventional home appliances with incremental feature updates [1][2]. The European business divestiture to Arcelik in 2024 was a strategic contraction, not an innovation. AI Deployment (0/2): The CIO has described a cautious approach to generative AI, citing governance, ethics, and cost concerns in a low-margin business, with no AI products shipping or specific savings quantified [3]. Market Share (1/2): Whirlpool remains a leading North American appliance brand with strong Maytag and KitchenAid portfolio positioning, but faces intensifying competition from Samsung, LG, and Haier that has eroded share in premium categories [2]. Product Pipeline (0/2): No specific next-generation products with launch dates or revenue visibility identified. R&amp;D Intensity (0/1): R&amp;D spending is in line with or below the household durables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Whirlpool's purpose — 'to be the best kitchen and laundry company, in constant pursuit of improving life at home' — is clear and specific to what they do, connecting appliances to the broader goal of improving domestic life [4]. However, it is not distinctive enough to inspire beyond the industry or create competitive advantage through purpose alone. Community Impact (1/2): Whirlpool maintains a longstanding partnership with Habitat for Humanity, having donated over 200,000 ranges and refrigerators, and supports community development programs through its corporate foundation [4][5]. Employee Retention (1/2): Glassdoor rating of 3.7/5 with 67% of employees recommending the company is adequate for a manufacturing conglomerate, though only 46% have a positive business outlook and reviews cite deteriorating culture under cost-cutting pressure [3]. Insider Buying (0/2): No evidence of meaningful net insider buying by CEO Marc Bitzer or other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Whirlpool is in severe financial distress: Q1 2026 revenue fell 9.6% YoY to $3.27B, prompting management to slash full-year 2026 ongoing EPS guidance from $7.00 to $3.00-$3.50 [1]. The stock has collapsed to ~$38, reflecting the market's loss of confidence. D/E of 313% ($8.28B debt against declining equity) breaches the 300% scoring floor. ROE is negative at -5.39%, and net margin is barely positive at 2.05% [2][5]. The Forward P/E of 16.04 based on reduced guidance is the sole valuation bright spot. The 70+ year dividend payment history scores well mechanically, but the 2024 dividend cut from $7.00/year to $3.60/year produces a negative 5-year dividend growth CAGR. The trailing payout ratio of 64% appears manageable, but the forward payout ratio of 103-133% based on reduced earnings guidance signals likely further dividend cuts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Whirlpool under Marc Bitzer is playing a decidedly finite game. The company is focused on cost reduction, asset sales, and short-term margin restoration rather than long-term capability building. The European divestiture, dividend cut, multiple rounds of cost restructuring, and dramatic guidance reductions all signal a company in survival mode optimizing for quarterly results rather than investing in enduring competitive advantage. The 111-year operating history provides institutional resilience, but the current strategic direction lacks a compelling vision for the future.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'Best kitchen and laundry company, improving life at home' is functional and consistently articulated but does not rise to the level of a Just Cause in Sinek's framework [4]. It describes what Whirlpool does, not a vision of a better future so compelling that people sacrifice to advance it. Strategic decisions — divesting Europe, cutting the dividend, restructuring repeatedly — are driven by financial necessity rather than purposeful direction.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3.7/5 with 67% recommendation is respectable for a large manufacturing company, suggesting adequate baseline trust [3]. However, only 46% of employees have a positive outlook, and reviews describe a 'culture dying' under cost-cutting pressure, with leadership 'focused on cost out and selling parts of the business, not on quality or employee satisfaction.' Multiple senior leadership departures in 2025-2026 — including the CFO and North America president — create organizational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Whirlpool's competitive response to Samsung and LG gaining appliance share has been cost-cutting and restructuring rather than product innovation, suggesting a finite competitive mindset focused on protecting market position rather than improving capabilities [2]. No evidence of management commentary that acknowledges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Whirlpool has been a home appliance company for 111 years and shows no evidence of willingness to transform the business model [1][2]. The European divestiture was a contraction, not a pivot. The company has not entered adjacent markets, adopted new technologies at scale, or reimagined how consumers interact with home appliances. The business model in 2026 is fundamentally identical to decades prior — design, manufacture, and sell appliances through retail channels.</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Recent leadership decisions prioritize near-term financial survival over long-term capability building: dividend cut from $7.00/year to $3.60/year, European business divestiture, multiple restructuring rounds targeting $150M+ in cost reductions, and dramatic EPS guidance cuts from $7.00 to $3.00-$3.50 ongoing [1]. These are reactive, defensive moves rather than courageous long-term investments. Leadership turnover at the CFO and North America president level compounds the impression of managed retreat.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Whirlpool's bull case rests on deep value: the stock trades at 6.8x trailing earnings and 16x forward with a 9.45% dividend yield, pricing in extreme pessimism for a company that still generates $15B+ in annual revenue and owns iconic brands (Whirlpool, Maytag, KitchenAid) with dominant North American market share [1][5]. Management's $150M+ structural cost reduction program, combined with pricing actions, could restore margins if macro conditions stabilize. The European divestiture simplifies the business and eliminates a margin drag. At $38, the stock could offer significant upside if earnings recover toward the original $7.00 ongoing EPS guidance.</w:t>
      </w:r>
    </w:p>
    <w:p>
      <w:pPr>
        <w:spacing w:after="120"/>
      </w:pPr>
      <w:r>
        <w:rPr>
          <w:rFonts w:ascii="Calibri" w:hAnsi="Calibri"/>
          <w:b w:val="0"/>
          <w:color w:val="3A4A28"/>
          <w:sz w:val="20"/>
        </w:rPr>
        <w:t>The bear case is formidable: Q1 2026 revenue declined 9.6% YoY and management slashed ongoing EPS guidance from $7.00 to $3.00-$3.50, suggesting the tariff and macro environment is far worse than initially expected [1]. The $3.60 annual dividend (103-133% forward payout ratio) appears unsustainable at reduced earnings and is likely to be cut again. D/E of 313% with $8.28B debt against a shrinking equity base creates balance sheet risk if the earnings decline persists [5]. ROE of -5.39% and negative 5-year revenue CAGR of -2.46% indicate a structurally declining business, not a cyclical trough. Competition from Samsung, LG, and Chinese manufacturers continues to erode brand premium and market share in segments where KitchenAid competes.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cost reduction program targeting $150M+ in savings (100bps margin expansion) could restore profitability if fully executed alongside pricing actions in H2 2026</w:t>
      </w:r>
    </w:p>
    <w:p>
      <w:pPr>
        <w:spacing w:before="40" w:after="40"/>
        <w:ind w:left="283"/>
      </w:pPr>
      <w:r>
        <w:rPr>
          <w:rFonts w:ascii="Calibri" w:hAnsi="Calibri"/>
          <w:b/>
          <w:color w:val="4A6B25"/>
          <w:sz w:val="20"/>
        </w:rPr>
        <w:t xml:space="preserve">2. </w:t>
      </w:r>
      <w:r>
        <w:rPr>
          <w:rFonts w:ascii="Calibri" w:hAnsi="Calibri"/>
          <w:b w:val="0"/>
          <w:color w:val="3A4A28"/>
          <w:sz w:val="20"/>
        </w:rPr>
        <w:t>Housing market recovery and pent-up appliance replacement demand could drive a revenue inflection after a multi-year appliance market downturn, benefiting the dominant North American brand portfolio</w:t>
      </w:r>
    </w:p>
    <w:p>
      <w:pPr>
        <w:spacing w:before="40" w:after="40"/>
        <w:ind w:left="283"/>
      </w:pPr>
      <w:r>
        <w:rPr>
          <w:rFonts w:ascii="Calibri" w:hAnsi="Calibri"/>
          <w:b/>
          <w:color w:val="4A6B25"/>
          <w:sz w:val="20"/>
        </w:rPr>
        <w:t xml:space="preserve">3. </w:t>
      </w:r>
      <w:r>
        <w:rPr>
          <w:rFonts w:ascii="Calibri" w:hAnsi="Calibri"/>
          <w:b w:val="0"/>
          <w:color w:val="3A4A28"/>
          <w:sz w:val="20"/>
        </w:rPr>
        <w:t>Simplification benefits from the European divestiture flowing through as management focuses exclusively on the higher-margin North American core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Dividend of $3.60/year is unsustainable at $2.70 midpoint GAAP EPS guidance (133% payout ratio), creating high probability of a second consecutive dividend cut that would further damage income investor confidence</w:t>
      </w:r>
    </w:p>
    <w:p>
      <w:pPr>
        <w:spacing w:before="40" w:after="40"/>
        <w:ind w:left="283"/>
      </w:pPr>
      <w:r>
        <w:rPr>
          <w:rFonts w:ascii="Calibri" w:hAnsi="Calibri"/>
          <w:b/>
          <w:color w:val="4A6B25"/>
          <w:sz w:val="20"/>
        </w:rPr>
        <w:t xml:space="preserve">2. </w:t>
      </w:r>
      <w:r>
        <w:rPr>
          <w:rFonts w:ascii="Calibri" w:hAnsi="Calibri"/>
          <w:b w:val="0"/>
          <w:color w:val="3A4A28"/>
          <w:sz w:val="20"/>
        </w:rPr>
        <w:t>D/E of 313% with $8.28B in debt against declining earnings creates leveraged downside risk — debt service consumes a growing share of cash flow as profitability deteriorates</w:t>
      </w:r>
    </w:p>
    <w:p>
      <w:pPr>
        <w:spacing w:before="40" w:after="40"/>
        <w:ind w:left="283"/>
      </w:pPr>
      <w:r>
        <w:rPr>
          <w:rFonts w:ascii="Calibri" w:hAnsi="Calibri"/>
          <w:b/>
          <w:color w:val="4A6B25"/>
          <w:sz w:val="20"/>
        </w:rPr>
        <w:t xml:space="preserve">3. </w:t>
      </w:r>
      <w:r>
        <w:rPr>
          <w:rFonts w:ascii="Calibri" w:hAnsi="Calibri"/>
          <w:b w:val="0"/>
          <w:color w:val="3A4A28"/>
          <w:sz w:val="20"/>
        </w:rPr>
        <w:t>Tariff-driven cost inflation and weak consumer demand for big-ticket discretionary purchases could compress margins further, making the $3.00-$3.50 ongoing EPS guidance achievable only with full cost reduction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Whirlpool's core business — designing, manufacturing, and distributing physical home appliances — is structurally immune to AI disruption [1][3]. AI cannot wash clothes, cool food, or cook meals. The global manufacturing footprint, supply chain management, brand portfolio, and retail distribution relationships represent physical-world moats that no AI tool can replicate. Regulatory requirements for appliance safety and energy efficiency create additional barriers. The only potential AI exposure is in smart home features where tech companies could intermediate the consumer relationship, but this remains a minor risk to core appliance revenue. AI Opportunity (0/1): The CIO has described a cautious, cost-conscious approach to AI adoption given Whirlpool's low-margin business model, with no specific AI revenue or quantified efficiency gains reported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Whirlpool Q1 2026 Earnings Release and Updated 2026 Guidance — investors.whirlpoolcorp.com, April 2026</w:t>
      </w:r>
    </w:p>
    <w:p>
      <w:pPr>
        <w:spacing w:before="20" w:after="20"/>
        <w:ind w:left="170"/>
      </w:pPr>
      <w:r>
        <w:rPr>
          <w:rFonts w:ascii="Calibri" w:hAnsi="Calibri"/>
          <w:b/>
          <w:color w:val="4A6B25"/>
          <w:sz w:val="15"/>
        </w:rPr>
        <w:t xml:space="preserve">2. </w:t>
      </w:r>
      <w:r>
        <w:rPr>
          <w:rFonts w:ascii="Calibri" w:hAnsi="Calibri"/>
          <w:b w:val="0"/>
          <w:color w:val="3A4A28"/>
          <w:sz w:val="17"/>
        </w:rPr>
        <w:t>Whirlpool Q4 2025 and Full-Year Results, Initial 2026 Guidance — investors.whirlpoolcorp.com, January 2026</w:t>
      </w:r>
    </w:p>
    <w:p>
      <w:pPr>
        <w:spacing w:before="20" w:after="20"/>
        <w:ind w:left="170"/>
      </w:pPr>
      <w:r>
        <w:rPr>
          <w:rFonts w:ascii="Calibri" w:hAnsi="Calibri"/>
          <w:b/>
          <w:color w:val="4A6B25"/>
          <w:sz w:val="15"/>
        </w:rPr>
        <w:t xml:space="preserve">3. </w:t>
      </w:r>
      <w:r>
        <w:rPr>
          <w:rFonts w:ascii="Calibri" w:hAnsi="Calibri"/>
          <w:b w:val="0"/>
          <w:color w:val="3A4A28"/>
          <w:sz w:val="17"/>
        </w:rPr>
        <w:t>Whirlpool CIO on AI Strategy and Employee Culture Reviews — Fortune, Glassdoor, 2024-2026</w:t>
      </w:r>
    </w:p>
    <w:p>
      <w:pPr>
        <w:spacing w:before="20" w:after="20"/>
        <w:ind w:left="170"/>
      </w:pPr>
      <w:r>
        <w:rPr>
          <w:rFonts w:ascii="Calibri" w:hAnsi="Calibri"/>
          <w:b/>
          <w:color w:val="4A6B25"/>
          <w:sz w:val="15"/>
        </w:rPr>
        <w:t xml:space="preserve">4. </w:t>
      </w:r>
      <w:r>
        <w:rPr>
          <w:rFonts w:ascii="Calibri" w:hAnsi="Calibri"/>
          <w:b w:val="0"/>
          <w:color w:val="3A4A28"/>
          <w:sz w:val="17"/>
        </w:rPr>
        <w:t>Whirlpool Corporate Website, Purpose and ESG Strategy — whirlpoolcorp.com,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 — WHR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