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WLTH</w:t>
      </w:r>
      <w:r>
        <w:rPr>
          <w:rFonts w:ascii="Calibri" w:hAnsi="Calibri"/>
          <w:b/>
          <w:color w:val="1A2010"/>
          <w:sz w:val="40"/>
        </w:rPr>
        <w:t xml:space="preserve">  Wealthfront Corporation</w:t>
      </w:r>
    </w:p>
    <w:p>
      <w:pPr>
        <w:spacing w:after="120"/>
      </w:pPr>
      <w:r>
        <w:rPr>
          <w:rFonts w:ascii="Calibri" w:hAnsi="Calibri"/>
          <w:b/>
          <w:color w:val="6E8450"/>
          <w:sz w:val="18"/>
        </w:rPr>
        <w:t>GROWTH SLEEVE · 2026-07-25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Wealthfront is an automated wealth management platform serving 1.42 million funded clients with $94.1B in platform assets ($47.0B cash management, $45.8B investment advisory). The company offers automated investing, direct indexing (Nasdaq-100 Direct), financial planning, high-yield cash accounts, lending products, and mortgage origination through a technology-first approach with no sales team, relying on product-driven organic growth since its founding in 2008.</w:t>
      </w:r>
    </w:p>
    <w:p>
      <w:r>
        <w:rPr>
          <w:rFonts w:ascii="Calibri" w:hAnsi="Calibri"/>
          <w:b/>
          <w:color w:val="6E8450"/>
          <w:sz w:val="18"/>
        </w:rPr>
        <w:t>https://www.wealthfront.com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Wealthfront has evolved from a simple robo-advisor to a comprehensive financial platform spanning automated investing, cash management ($47B), direct indexing (Nasdaq-100 Direct launched in Q3 FY2026), lending, and first mortgage origination expanding to multiple states [1]. Platform assets reached $94.1B (up 17% YoY) with 1.42M funded clients (up 17%) [1]. AI Deployment (1/2): The business model IS automation — automated tax-loss harvesting, automated rebalancing, automated portfolio construction — with 40% of engineering resources allocated to exploring new initiatives [2]. However, no specific generative AI-powered products have shipped with measurable revenue impact. Market Share (1/2): Wealthfront holds $94.1B AUM, a meaningful position in digital wealth management but far behind Schwab ($9T+), Fidelity ($14T+), and Vanguard ($9T+) in total assets under management [1]. Pipeline (1/2): Nasdaq-100 Direct for tax-loss harvesting is shipping; mortgage origination expanding to multiple states; CEO's 40/40/20 resource split (exploration/optimization/maintenance) ensures ongoing product development [1][2]. R&amp;D Intensity (1/1): 1:1 engineer-to-non-engineer ratio is exceptional for any financial services company, reflecting engineering-first culture that is the core competitive advantage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Wealthfront's mission to democratize access to sophisticated financial advice — making wealth management accessible to everyone, not just the wealthy — is specific, thoughtful, and clearly shapes product decisions like operating without a sales team, maintaining low minimums, and transparent fee structures [2]. This genuinely differentiates from traditional wealth managers and drives strategic decisions. Community Impact (1/2): Wealthfront offers socially responsible investing portfolios with ESG-focused ETFs including exposure to companies scoring well on environmental, social, and governance measures, expanding access to values-aligned investing [3]. No specific charitable programs or dollar amounts disclosed. Employee Retention (1/2): CEO David Fortunato has been with the company since 2009 (17 years), the 1:1 engineer ratio reflects cultural commitment, and Glassdoor shows 4.2/5 stars with 81% recommending working at Wealthfront [2]. However, the stock is down 37% from its $14 IPO price, creating retention risk from underwater equity compensation. Insider Buying (0/2): Net insider selling continues post-IPO with lockup expirations; no meaningful insider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Wealthfront demonstrates strong revenue momentum with 16-18% YoY growth to $365M in FY2026, but GAAP profitability remains negative with a -14.9% profit margin driven by IPO-related stock-based compensation ($133.7M Q4 FY2026 loss vs. ~$30M quarterly profits in Q1-Q3) [1]. D/E of just 2% reflects a nearly debt-free balance sheet with $428M cash against $9.4M debt [4]. Forward P/E of ~10.6x (based on normalized quarterly EPS of ~$0.21) is attractive for a 16%+ revenue growth company. ROE of -11.8% reflects the GAAP loss impact. Q3 FY2026 adjusted EBITDA margin of 47% and free cash flow of $41.3M demonstrate underlying profitability when excluding SBC [1]. The $100M share repurchase authorization signals management confidence. Revenue 5yr CAGR is unavailable (IPO in December 2025) but 1yr growth exceeds 16% [1]. Liquidity floor cleared: 1.46M avg vol x $8.88 = $13.0M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Wealthfront exhibits strong infinite game characteristics through its founding mission to democratize wealth management, 17-year journey from startup to IPO, and distinctive high-trust organizational culture. CEO Fortunato's tenure since 2009, Chairman Andy Rachleff's continued involvement, Glassdoor's 4.2/5 rating, and the radical transparency practices (all employees see financials and board decks) create a genuine Circle of Safety. The post-IPO stock decline (-37%) tests whether this infinite mindset can endure public market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Wealthfront's cause — making sophisticated financial advice accessible to everyone, not just the wealthy — is genuine and has shaped strategic decisions for 17+ years, including the deliberate choice to operate without a sales team, keep fees low, and maintain transparency [2]. The mission connects to financial inclusion and has been validated by growing to $94.1B AUM and 1.42M clients from organic product-driven growth alone. However, it hasn't survived major leadership transitions or existential crises to reach the highest tier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Wealthfront demonstrates exceptional organizational trust through radical transparency — all employees have access to financials, board decks, and compensation mechanisms [2]. Glassdoor 4.2/5 with 81% recommending employment, CEO Fortunato's 17-year tenure, and decentralized decision-making create the Circle of Safety Sinek describes. The 1:1 engineer ratio reflects a culture that empowers technical talent rather than managing through hierarchy. These practices are distinctive and create psychological safety for experimentation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Wealthfront frames competition with Schwab, Vanguard, Fidelity, and Betterment as motivation to build better products rather than a war to win [2]. The company competes through product quality and automation superiority rather than aggressive marketing spend, and the choice to remain independent (rejecting UBS acquisition) demonstrates confidence in competing on product merits. CEO Fortunato's focus on engineering excellence over competitive destruction reflects infinite competitive thinking (1/1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Wealthfront has evolved from a pure robo-advisor to a comprehensive financial platform adding cash management ($47B), direct indexing (Nasdaq-100 Direct), lending, mortgage origination, and financial planning [1]. The company also pivoted from an attempted UBS acquisition (which fell through in 2022) to an independent IPO path in December 2025, demonstrating strategic adaptability. However, these are evolutionary product extensions rather than transformative business model reinventions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Wealthfront chose to pursue an independent IPO in December 2025 rather than accept acquisition by UBS, betting on its ability to compete independently against trillion-dollar incumbents [1]. The decision to operate without a sales team — unconventional in financial services — represents a principled bet on product quality over traditional distribution. The $100M buyback authorization at $8.88 (37% below IPO price) shows willingness to deploy capital counter-cyclically [4]. However, the company is still early in proving sustained public-company profitability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Wealthfront offers compelling exposure to the secular shift toward automated wealth management at a discounted 10.6x normalized forward P/E with 16-18% revenue growth, 47% adjusted EBITDA margin, and $41.3M quarterly free cash flow [1]. Platform assets of $94.1B and 1.42M funded clients (both growing 17% YoY) demonstrate a scaling flywheel, while the nearly debt-free balance sheet ($428M cash vs $9.4M debt) and $100M buyback authorization provide financial flexibility [4]. Glassdoor's 4.2/5 rating, radical transparency culture, and CEO Fortunato's 17-year tenure create a differentiated organizational moat. The stock's 37% decline from its $14 IPO price to $8.88 creates an attractive entry point if the company can demonstrate GAAP profitability as IPO-related SBC normalizes [4].</w:t>
      </w:r>
    </w:p>
    <w:p>
      <w:pPr>
        <w:spacing w:after="120"/>
      </w:pPr>
      <w:r>
        <w:rPr>
          <w:rFonts w:ascii="Calibri" w:hAnsi="Calibri"/>
          <w:b w:val="0"/>
          <w:color w:val="3A4A28"/>
          <w:sz w:val="20"/>
        </w:rPr>
        <w:t>The bear case centers on AI disruption, GAAP profitability, and competitive intensity. GAAP net loss of $42.1M for FY2026 (amplified by $133.7M Q4 loss from SBC) means ROE is -11.8% and trailing PE is undefined [1]. Cash management fees comprising 74% of revenue create interest rate sensitivity — any Fed rate cut cycle would directly compress Wealthfront's largest revenue stream. The digital wealth management space is increasingly commoditized as Schwab, Fidelity, and Vanguard offer free or near-free automated investing with orders-of-magnitude more AUM and brand recognition. AI-powered financial planning from big tech and fintech competitors could replicate Wealthfront's core value proposition at lower cost [2]. The stock trading at $8.88 (37% below $14 IPO) suggests market skepticism, and post-IPO insider selling creates overhang. Without a sales force, penetrating higher-AUM client segments that drive profitability remains structurally challenging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inflection expected as Q4 FY2026's $133.7M SBC charge normalizes — Q1-Q3 FY2026 generated ~$30M quarterly net income, suggesting underlying profitability is achievable [1]</w:t>
      </w:r>
    </w:p>
    <w:p>
      <w:pPr>
        <w:spacing w:before="40" w:after="40"/>
        <w:ind w:left="283"/>
      </w:pPr>
      <w:r>
        <w:rPr>
          <w:rFonts w:ascii="Calibri" w:hAnsi="Calibri"/>
          <w:b/>
          <w:color w:val="4A6B25"/>
          <w:sz w:val="20"/>
        </w:rPr>
        <w:t xml:space="preserve">2. </w:t>
      </w:r>
      <w:r>
        <w:rPr>
          <w:rFonts w:ascii="Calibri" w:hAnsi="Calibri"/>
          <w:b w:val="0"/>
          <w:color w:val="3A4A28"/>
          <w:sz w:val="20"/>
        </w:rPr>
        <w:t>Continued platform asset growth toward $100B+ AUM with 17% funded client growth compounding management fees and creating network effects [1]</w:t>
      </w:r>
    </w:p>
    <w:p>
      <w:pPr>
        <w:spacing w:before="40" w:after="40"/>
        <w:ind w:left="283"/>
      </w:pPr>
      <w:r>
        <w:rPr>
          <w:rFonts w:ascii="Calibri" w:hAnsi="Calibri"/>
          <w:b/>
          <w:color w:val="4A6B25"/>
          <w:sz w:val="20"/>
        </w:rPr>
        <w:t xml:space="preserve">3. </w:t>
      </w:r>
      <w:r>
        <w:rPr>
          <w:rFonts w:ascii="Calibri" w:hAnsi="Calibri"/>
          <w:b w:val="0"/>
          <w:color w:val="3A4A28"/>
          <w:sz w:val="20"/>
        </w:rPr>
        <w:t>New product expansion — Nasdaq-100 Direct indexing and mortgage origination across multiple states diversify revenue beyond cash management's interest rate dependency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74% of revenue from cash management fees means any Fed rate cut cycle would directly compress Wealthfront's largest revenue stream, potentially cutting revenue by 20%+ [1]</w:t>
      </w:r>
    </w:p>
    <w:p>
      <w:pPr>
        <w:spacing w:before="40" w:after="40"/>
        <w:ind w:left="283"/>
      </w:pPr>
      <w:r>
        <w:rPr>
          <w:rFonts w:ascii="Calibri" w:hAnsi="Calibri"/>
          <w:b/>
          <w:color w:val="4A6B25"/>
          <w:sz w:val="20"/>
        </w:rPr>
        <w:t xml:space="preserve">2. </w:t>
      </w:r>
      <w:r>
        <w:rPr>
          <w:rFonts w:ascii="Calibri" w:hAnsi="Calibri"/>
          <w:b w:val="0"/>
          <w:color w:val="3A4A28"/>
          <w:sz w:val="20"/>
        </w:rPr>
        <w:t>Competitive commoditization from Schwab ($9T+ AUM), Fidelity, and Vanguard offering automated investing at zero or near-zero fees with massive brand trust advantages and established distribution [2]</w:t>
      </w:r>
    </w:p>
    <w:p>
      <w:pPr>
        <w:spacing w:before="40" w:after="40"/>
        <w:ind w:left="283"/>
      </w:pPr>
      <w:r>
        <w:rPr>
          <w:rFonts w:ascii="Calibri" w:hAnsi="Calibri"/>
          <w:b/>
          <w:color w:val="4A6B25"/>
          <w:sz w:val="20"/>
        </w:rPr>
        <w:t xml:space="preserve">3. </w:t>
      </w:r>
      <w:r>
        <w:rPr>
          <w:rFonts w:ascii="Calibri" w:hAnsi="Calibri"/>
          <w:b w:val="0"/>
          <w:color w:val="3A4A28"/>
          <w:sz w:val="20"/>
        </w:rPr>
        <w:t>AI disruption risk — generative AI-powered financial planning tools from banks, big tech, and startups could replicate Wealthfront's core robo-advisory value proposition, eroding the company's technology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Wealthfront's core automated investing and financial planning business faces meaningful AI disruption risk as large language models increasingly commoditize robo-advisory capabilities [2]. Traditional banks (JPMorgan, Goldman Sachs), big tech (Apple, Google), and fintech competitors are deploying AI-powered financial planning tools that could replicate Wealthfront's core value proposition. The 74% revenue concentration in cash management fees (interest rate spread) is particularly vulnerable to competition from banks offering comparable yields. However, Wealthfront's proprietary client data on 1.42M funded clients, $94.1B AUM platform effects, SEC registration requirements, fiduciary licensing, and high switching costs from tax-lot embedded gains provide meaningful defensive moats [1]. The engineering-first culture (1:1 engineer ratio) positions it well to integrate AI rather than be disrupted by it. AI Opportunity (0/1): While the platform IS algorithmically automated (tax-loss harvesting, rebalancing, direct indexing), no specific generative AI-powered products generating quantifiable incremental revenue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Wealthfront FY2026 Earnings / Q3-Q4 Results — FY2026 revenue $365M (18% YoY), Q3 record $93.2M revenue / $30.9M NI, Q4 $96.1M revenue / -$133.7M NI (SBC), $94.1B platform assets, 1.42M funded clients, March 2026</w:t>
      </w:r>
    </w:p>
    <w:p>
      <w:pPr>
        <w:spacing w:before="20" w:after="20"/>
        <w:ind w:left="170"/>
      </w:pPr>
      <w:r>
        <w:rPr>
          <w:rFonts w:ascii="Calibri" w:hAnsi="Calibri"/>
          <w:b/>
          <w:color w:val="4A6B25"/>
          <w:sz w:val="15"/>
        </w:rPr>
        <w:t xml:space="preserve">2. </w:t>
      </w:r>
      <w:r>
        <w:rPr>
          <w:rFonts w:ascii="Calibri" w:hAnsi="Calibri"/>
          <w:b w:val="0"/>
          <w:color w:val="3A4A28"/>
          <w:sz w:val="17"/>
        </w:rPr>
        <w:t>Fintech Leaders / Glassdoor — CEO David Fortunato (since 2009), 1:1 engineer ratio, radical transparency, decentralized decision-making; Glassdoor 4.2/5, 81% recommend, 60 reviews</w:t>
      </w:r>
    </w:p>
    <w:p>
      <w:pPr>
        <w:spacing w:before="20" w:after="20"/>
        <w:ind w:left="170"/>
      </w:pPr>
      <w:r>
        <w:rPr>
          <w:rFonts w:ascii="Calibri" w:hAnsi="Calibri"/>
          <w:b/>
          <w:color w:val="4A6B25"/>
          <w:sz w:val="15"/>
        </w:rPr>
        <w:t xml:space="preserve">3. </w:t>
      </w:r>
      <w:r>
        <w:rPr>
          <w:rFonts w:ascii="Calibri" w:hAnsi="Calibri"/>
          <w:b w:val="0"/>
          <w:color w:val="3A4A28"/>
          <w:sz w:val="17"/>
        </w:rPr>
        <w:t>Wealthfront SRI / ESG — Socially responsible investing portfolios with ESG-focused ETFs, MSCI-scored companies on environmental, social, and governance factors</w:t>
      </w:r>
    </w:p>
    <w:p>
      <w:pPr>
        <w:spacing w:before="20" w:after="20"/>
        <w:ind w:left="170"/>
      </w:pPr>
      <w:r>
        <w:rPr>
          <w:rFonts w:ascii="Calibri" w:hAnsi="Calibri"/>
          <w:b/>
          <w:color w:val="4A6B25"/>
          <w:sz w:val="15"/>
        </w:rPr>
        <w:t xml:space="preserve">4. </w:t>
      </w:r>
      <w:r>
        <w:rPr>
          <w:rFonts w:ascii="Calibri" w:hAnsi="Calibri"/>
          <w:b w:val="0"/>
          <w:color w:val="3A4A28"/>
          <w:sz w:val="17"/>
        </w:rPr>
        <w:t>StockAnalysis — WLTH financial data: $1.33B market cap, D/E 2%, $428M cash, $9.4M debt, -$55.18M TTM net loss, $100M buyback, analyst target $12.33,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