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WMG</w:t>
      </w:r>
      <w:r>
        <w:rPr>
          <w:rFonts w:ascii="Calibri" w:hAnsi="Calibri"/>
          <w:b/>
          <w:color w:val="1A2010"/>
          <w:sz w:val="40"/>
        </w:rPr>
        <w:t xml:space="preserve">  Warner Music Group Corp.</w:t>
      </w:r>
    </w:p>
    <w:p>
      <w:pPr>
        <w:spacing w:after="120"/>
      </w:pPr>
      <w:r>
        <w:rPr>
          <w:rFonts w:ascii="Calibri" w:hAnsi="Calibri"/>
          <w:b/>
          <w:color w:val="6E8450"/>
          <w:sz w:val="18"/>
        </w:rPr>
        <w:t>DIVIDEND SLEEVE · 2026-07-15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Warner Music Group is one of three major global music companies, encompassing Recorded Music labels (Atlantic, Warner Records, Elektra, Parlophone) and Music Publishing (Warner Chappell). Under CEO Robert Kyncl (ex-YouTube CBO), WMG is pursuing an AI licensing strategy with deals across Suno, Udio, Stability AI, and Klay, while deploying a $1.2B catalog acquisition joint venture with Bain Capital. Controlled by Access Industries (Len Blavatnik).</w:t>
      </w:r>
    </w:p>
    <w:p>
      <w:r>
        <w:rPr>
          <w:rFonts w:ascii="Calibri" w:hAnsi="Calibri"/>
          <w:b/>
          <w:color w:val="6E8450"/>
          <w:sz w:val="18"/>
        </w:rPr>
        <w:t>5,500 Employees · https://www.wmg.com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FY2026 revenue surged 17% to $1.732B with net income of $183M (vs $36M prior year), and adjusted OIBDA margin expanded at the high end of the 150-200bps target [1]. The $1.2B catalog acquisition JV with Bain Capital has deployed $650M in recorded and publishing catalogs, creating a new scalable asset acquisition model for the music industry [1]. AI Deployment (1/2): Kyncl's 'legislate, litigate, license' framework produced licensing deals with Suno, Udio, Stability AI, and Klay on variable-economics terms, but management has explicitly stated these will not be material until FY2027 — no specific AI revenue has been quantified yet [2]. Market Share (2/2): WMG gained ~1 point of US streaming market share YoY and Spotify Top 200 share rose 3+ points fiscal year-to-date, demonstrating share gains within the three-major oligopoly alongside Universal and Sony [1][2]. Product Pipeline (1/2): AI licensing deals provide revenue visibility for FY2027+, and the catalog JV has a $550M remaining capacity to deploy, but no specific product launch dates are disclosed [1]. R&amp;D Intensity (0/1): A&amp;R spending serves as the music industry equivalent of R&amp;D but is not classified as such; no formal R&amp;D line exists in WMG's financials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WMG's purpose of developing artists and preserving musical catalog is credible and connects the company's work to cultural value, but it is not deeply distinctive — all three major labels share essentially the same purpose. Kyncl frames priorities as 'increase market share, increase the value of music overall, and increase efficiency,' which is operational rather than inspirational [2]. Community Impact (2/2): The $100M Warner Music Group / Blavatnik Family Foundation Social Justice Fund has pledged $22.5M in grants to 24 organizations since 2020 [3]. WMG was the first major music company to publish a standalone ESG report, covering 100% renewable energy commitment by 2030 and co-founding the Music Industry Climate Collective [3]. Employee Retention (0/2): Two rounds of layoffs — 750 employees in September 2024 and an additional $170M in cuts announced July 2025 — have taken headcount from 6,200 to 5,500. Glassdoor rating of 3.4/5 with only 56% recommendation rate, 3.2 culture score, and 2.9 career opportunities signal cultural strain [2]. Insider Buying (0/2): No notable insider buying; Access Industries (Len Blavatnik) retains majority control but no personal market purchases by executives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strong results with revenue of $1.732B (up 17%), net income of $183M (up 408% from $36M), and EPS of $0.44 beating estimates by 63% [1]. ROE of 50.96% reflects strong earnings on a thin equity base. Forward P/E of 16.45 with PEG of 0.41 represents reasonable value for the growth trajectory. However, D/E of 508% reflects the Access Industries LBO heritage and catalog-backed debt structure — Altman Z-score of 1.71 is in the distress zone [4]. Profit margin of 6.34% is improving but below the 20% target. Dividend yield of 2.76% with a payout ratio of 89.76% is strained. The 5-year revenue CAGR of approximately 7% reflects steady but unspectacular growth. Free cash flow of $729M TTM provides operational health despite the leveraged balance sheet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WMG under Kyncl plays a moderately long game with catalog stewardship and proactive AI licensing, but the majority-controlled LBO structure, aggressive cost-cutting programs, and poor employee culture scores pull toward finite quarterly optimization. The company is adapting to AI disruption with intelligence and pragmatism, but the overarching driver is financial return for Access Industries rather than a transcendent purpose that inspires sacrifice.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artists and preserving musical heritage is a genuine cause that connects WMG's work to cultural value — music is one of humanity's most fundamental creative expressions. The catalog spans decades of cultural significance. However, the cause is shared with all three major labels and is not distinctively articulated by WMG. Kyncl's leadership priorities (market share, efficiency, value) are operational rather than cause-driven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rounds of restructuring — 750 employees cut in September 2024 and an additional $170M in savings from layoffs announced July 2025 — have reduced headcount from 6,200 to 5,500 despite 10-17% revenue growth [3]. Glassdoor scores of 3.4/5 overall, 3.2 culture, 2.9 career opportunities, and only 56% recommendation rate indicate a strained culture where employees feel undervalued and under-resourced. The cost savings appear to flow primarily to shareholders and debt service rather than reinvestment in people.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Kyncl's YouTube and Netflix background means he treats streaming platforms as collaborative partners rather than adversaries. WMG openly respects Universal Music Group's scale and Sony Music's catalog strength, and the AI licensing approach — working with Suno/Udio rather than just suing them into oblivion — reflects using competitive dynamics to improve rather than destroy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Proactively licensing the catalog to AI music platforms on variable-economics terms — rather than taking a purely adversarial stance — demonstrates adaptive thinking [2]. The $1.2B Bain Capital catalog JV is an innovative capital structure. However, the core business model (owning and licensing music rights) has not fundamentally changed — WMG is evolving incrementally rather than transformatively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Publicly pushing for streaming price hikes, establishing the legal precedent through Suno/Udio litigation and then settling into licensing deals, and committing to AI monetization when the financial impact is uncertain — these demonstrate strategic courage [2]. However, the aggressive cost-cutting ($260M in 2024, $300M in 2025) during a period of strong revenue growth raises questions about whether savings benefit artists and employees or primarily flow to debt service and Access Industries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Warner Music Group delivered a strong Q2 FY2026 with revenue of $1.732B (up 17%), net income of $183M (vs $36M year-ago), and EPS of $0.44 beating estimates by 63% [1]. The three-major music oligopoly provides structural pricing power, and WMG is gaining share — US streaming up 1 point, Spotify Top 200 share up 3+ points fiscal YTD [1]. At a forward P/E of 16.45 with PEG of 0.41, WMG offers attractively valued exposure to streaming price hikes, AI catalog monetization, and the $1.2B Bain Capital catalog JV ($650M already deployed). The AI licensing strategy — deals with Suno, Udio, Stability AI, and Klay — positions WMG to convert the AI threat into a revenue stream, with material impact projected by FY2027 [2]. Free cash flow of $729M TTM and 2.76% dividend yield provide income while waiting for the AI monetization thesis to materialize.</w:t>
      </w:r>
    </w:p>
    <w:p>
      <w:pPr>
        <w:spacing w:after="120"/>
      </w:pPr>
      <w:r>
        <w:rPr>
          <w:rFonts w:ascii="Calibri" w:hAnsi="Calibri"/>
          <w:b w:val="0"/>
          <w:color w:val="3A4A28"/>
          <w:sz w:val="20"/>
        </w:rPr>
        <w:t>The bear case centers on leverage, culture, and valuation risk. D/E of 508% reflects the Access Industries LBO structure, with an Altman Z-score of 1.71 in the distress zone [4]. Two rounds of restructuring — 750 cuts in September 2024 and $300M in savings announced July 2025 — have strained the organization (Glassdoor 3.4/5, 56% recommend) even as revenue grew 10-17% [3]. The dividend payout ratio of 89.76% is unsustainably high relative to GAAP earnings, suggesting the dividend is more a function of Access Industries' income needs than sustainable payout policy. AI-generated synthetic music remains a double-edged sword — if regulation lags, synthetic content could flood streaming platforms and dilute royalty pools for human-created music. The Inspire score of -49 (MISALIGNED) reflects LGBT Activism as the sole negative attribution. Trailing P/E of 32.57 requires continued EPS expansion from operating leverage to avoid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licensing deals with Suno, Udio, Stability AI, and Klay transitioning from immaterial to material financial contribution beginning FY2027, creating an entirely new revenue category for the catalog</w:t>
      </w:r>
    </w:p>
    <w:p>
      <w:pPr>
        <w:spacing w:before="40" w:after="40"/>
        <w:ind w:left="283"/>
      </w:pPr>
      <w:r>
        <w:rPr>
          <w:rFonts w:ascii="Calibri" w:hAnsi="Calibri"/>
          <w:b/>
          <w:color w:val="4A6B25"/>
          <w:sz w:val="20"/>
        </w:rPr>
        <w:t xml:space="preserve">2. </w:t>
      </w:r>
      <w:r>
        <w:rPr>
          <w:rFonts w:ascii="Calibri" w:hAnsi="Calibri"/>
          <w:b w:val="0"/>
          <w:color w:val="3A4A28"/>
          <w:sz w:val="20"/>
        </w:rPr>
        <w:t>Continued streaming price hikes across Spotify, Apple Music, and Amazon Music flowing through to WMG subscription streaming revenue, which grew 12.7% YoY in Q2 FY2026</w:t>
      </w:r>
    </w:p>
    <w:p>
      <w:pPr>
        <w:spacing w:before="40" w:after="40"/>
        <w:ind w:left="283"/>
      </w:pPr>
      <w:r>
        <w:rPr>
          <w:rFonts w:ascii="Calibri" w:hAnsi="Calibri"/>
          <w:b/>
          <w:color w:val="4A6B25"/>
          <w:sz w:val="20"/>
        </w:rPr>
        <w:t xml:space="preserve">3. </w:t>
      </w:r>
      <w:r>
        <w:rPr>
          <w:rFonts w:ascii="Calibri" w:hAnsi="Calibri"/>
          <w:b w:val="0"/>
          <w:color w:val="3A4A28"/>
          <w:sz w:val="20"/>
        </w:rPr>
        <w:t>$1.2B Bain Capital catalog acquisition JV completing deployment of remaining $550M, building durable catalog assets with predictable streaming royalty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508% from Access Industries LBO heritage creates elevated interest expense sensitivity — Altman Z-score of 1.71 is in the distress zone, limiting financial flexibility for strategic investment</w:t>
      </w:r>
    </w:p>
    <w:p>
      <w:pPr>
        <w:spacing w:before="40" w:after="40"/>
        <w:ind w:left="283"/>
      </w:pPr>
      <w:r>
        <w:rPr>
          <w:rFonts w:ascii="Calibri" w:hAnsi="Calibri"/>
          <w:b/>
          <w:color w:val="4A6B25"/>
          <w:sz w:val="20"/>
        </w:rPr>
        <w:t xml:space="preserve">2. </w:t>
      </w:r>
      <w:r>
        <w:rPr>
          <w:rFonts w:ascii="Calibri" w:hAnsi="Calibri"/>
          <w:b w:val="0"/>
          <w:color w:val="3A4A28"/>
          <w:sz w:val="20"/>
        </w:rPr>
        <w:t>AI-generated synthetic music could dilute streaming royalty pools if copyright protection regulation lags, potentially compressing the value of new artist development and pressuring A&amp;R returns</w:t>
      </w:r>
    </w:p>
    <w:p>
      <w:pPr>
        <w:spacing w:before="40" w:after="40"/>
        <w:ind w:left="283"/>
      </w:pPr>
      <w:r>
        <w:rPr>
          <w:rFonts w:ascii="Calibri" w:hAnsi="Calibri"/>
          <w:b/>
          <w:color w:val="4A6B25"/>
          <w:sz w:val="20"/>
        </w:rPr>
        <w:t xml:space="preserve">3. </w:t>
      </w:r>
      <w:r>
        <w:rPr>
          <w:rFonts w:ascii="Calibri" w:hAnsi="Calibri"/>
          <w:b w:val="0"/>
          <w:color w:val="3A4A28"/>
          <w:sz w:val="20"/>
        </w:rPr>
        <w:t>Cultural strain from two large restructurings (750 cut Sept 2024, $300M announced July 2025) reflected in Glassdoor 3.4/5 with 56% recommend and 2.9 career score — risks impairing artist development talent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WMG's core asset — ownership of recorded music catalogs and publishing rights — is structurally protected from AI disruption. AI cannot replicate copyrighted songs, streaming platforms require licensed content, and the three-major oligopoly provides pricing power [2]. WMG's proactive 'legislate, litigate, license' framework further strengthens the defensive moat by establishing the legal precedent that AI training on copyrighted music requires compensation. The primary counter-risk is that AI-generated synthetic music could dilute streaming royalty pools if not well-regulated, potentially compressing the value of new artist development. However, established catalog (the majority of WMG's value) is immune to this dynamic. AI Opportunity (1/1): Licensing deals with Suno, Udio, Stability AI, and Klay on variable-economics terms represent early AI revenue generation, with management projecting material financial impact beginning FY2027 [1][2]. CEO Kyncl's position that AI is 'revenue-expansionary' for rights holders reflects a well-reasoned monetization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Warner Music Group Q2 FY2026 Earnings Release — Revenue $1.732B (up 17%), Net Income $183M, EPS $0.44; $650M Catalog Acquisitions via Bain JV — SEC Form 8-K, May 2026</w:t>
      </w:r>
    </w:p>
    <w:p>
      <w:pPr>
        <w:spacing w:before="20" w:after="20"/>
        <w:ind w:left="170"/>
      </w:pPr>
      <w:r>
        <w:rPr>
          <w:rFonts w:ascii="Calibri" w:hAnsi="Calibri"/>
          <w:b/>
          <w:color w:val="4A6B25"/>
          <w:sz w:val="15"/>
        </w:rPr>
        <w:t xml:space="preserve">2. </w:t>
      </w:r>
      <w:r>
        <w:rPr>
          <w:rFonts w:ascii="Calibri" w:hAnsi="Calibri"/>
          <w:b w:val="0"/>
          <w:color w:val="3A4A28"/>
          <w:sz w:val="17"/>
        </w:rPr>
        <w:t>CEO Robert Kyncl AI Strategy and Streaming Market Share — Billboard, CNBC, Columbia Business School; 'Legislate, Litigate, License' Framework; Suno/Udio/Stability/Klay Deals, 2025-2026</w:t>
      </w:r>
    </w:p>
    <w:p>
      <w:pPr>
        <w:spacing w:before="20" w:after="20"/>
        <w:ind w:left="170"/>
      </w:pPr>
      <w:r>
        <w:rPr>
          <w:rFonts w:ascii="Calibri" w:hAnsi="Calibri"/>
          <w:b/>
          <w:color w:val="4A6B25"/>
          <w:sz w:val="15"/>
        </w:rPr>
        <w:t xml:space="preserve">3. </w:t>
      </w:r>
      <w:r>
        <w:rPr>
          <w:rFonts w:ascii="Calibri" w:hAnsi="Calibri"/>
          <w:b w:val="0"/>
          <w:color w:val="3A4A28"/>
          <w:sz w:val="17"/>
        </w:rPr>
        <w:t>WMG ESG Reports, $100M Social Justice Fund, and Restructuring Coverage — Music Business Worldwide, Hollywood Reporter; Glassdoor Reviews (3.4/5, 56% Recommend), 2024-2026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Yahoo Finance — WMG Key Statistics (Forward P/E 16.45, D/E 508%, PEG 0.41, ROE 51%, FCF $729M),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