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WM</w:t>
      </w:r>
      <w:r>
        <w:rPr>
          <w:rFonts w:ascii="Calibri" w:hAnsi="Calibri"/>
          <w:b/>
          <w:color w:val="1A2010"/>
          <w:sz w:val="40"/>
        </w:rPr>
        <w:t xml:space="preserve">  Waste Management, Inc.</w:t>
      </w:r>
    </w:p>
    <w:p>
      <w:pPr>
        <w:spacing w:after="120"/>
      </w:pPr>
      <w:r>
        <w:rPr>
          <w:rFonts w:ascii="Calibri" w:hAnsi="Calibri"/>
          <w:b/>
          <w:color w:val="6E8450"/>
          <w:sz w:val="18"/>
        </w:rPr>
        <w:t>GROWTH SLEEVE · 2026-07-16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Waste Management · NYSE · United States</w:t>
      </w:r>
    </w:p>
    <w:p>
      <w:pPr>
        <w:spacing w:after="80"/>
      </w:pPr>
      <w:r>
        <w:rPr>
          <w:rFonts w:ascii="Calibri" w:hAnsi="Calibri"/>
          <w:b w:val="0"/>
          <w:color w:val="3A4A28"/>
          <w:sz w:val="20"/>
        </w:rPr>
        <w:t>Waste Management (WM) is North America's largest environmental services company, providing collection, transfer, recycling, resource recovery, and disposal services to residential, commercial, industrial, and municipal customers. The company operates landfill gas-to-energy facilities, recycling plants, and a medical waste platform (Stericycle acquisition), generating over $25B in annual revenue with the largest landfill network and route density in North America.</w:t>
      </w:r>
    </w:p>
    <w:p>
      <w:r>
        <w:rPr>
          <w:rFonts w:ascii="Calibri" w:hAnsi="Calibri"/>
          <w:b/>
          <w:color w:val="6E8450"/>
          <w:sz w:val="18"/>
        </w:rPr>
        <w:t>60,500 Employees · https://www.wm.com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WM delivered $25.2B full-year 2025 revenue (+14.24% YoY), with the operating expense ratio dipping below 60% for the first time in company history, driving EBITDA margin to 31.3% [1]. The $7.2B Stericycle acquisition adds a premier medical waste platform and regulated waste compliance services. Q1 2026 continued with $6.23B revenue (+3.5%) and EPS of $1.79 (+13.3%) [1]. AI Deployment (1/2): WM deploys automation and AI across recycling facilities to boost material capture rates and increase recovery, with $700M+ invested in material recovery facilities (MRFs) since 2018 [2]. Fleet automation reduces collection costs and improves safety metrics [2]. Market Share (2/2): WM is the dominant North American waste management operator with the largest landfill network, route density, and customer base — creating significant scale advantages and regulatory barriers to entry that no competitor can replicate [1]. Pipeline (1/2): FY2026 guidance of $26.43-26.63B revenue and $8.15-8.25B adjusted EBITDA provides clear visibility, with sustainability segment contributing $235-255M operating EBITDA (~60% renewable energy, ~40% recycling) [1]. R&amp;D Intensity (1/1): Above-average technology investment for the waste sector including AI-powered recycling automation, fleet optimization, and renewable energy infrastructure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WM's purpose — 'maximizing resource value to build a sustainable future' — is specific, deeply tied to operations, and validated by decades of investment in landfill gas-to-energy, recycling infrastructure, and renewable natural gas [3]. The sustainability segment generating $235M+ EBITDA demonstrates the mission shapes capital allocation, not just marketing. Community Impact (2/2): WM operates one of the largest renewable energy portfolios in the waste industry, with over 70% collection fleet converted to alternative fuels [3]. Published environmental justice report disclosing demographic composition of communities near facilities — a transparency initiative rare in the industry [3]. Employee Retention (1/2): CEO Jim Fish emphasizes a 'People First' philosophy, investing in safety automation to reduce injuries on physically demanding routes and managing workforce optimization of ~5,000 positions through attrition rather than layoffs [2]. Promotion of John Morris to President in May 2025 signals internal succession confidence. Insider Buying (1/2): Senior leadership maintains significant equity exposure; Morris's promotion demonstrates long-term alignment and organizational trust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sleeve. D/E of 228% is elevated from $22.89B total debt driven by the $7.2B Stericycle acquisition, scoring poorly on this metric [4]. ROE of 29.94% substantially exceeds the 15% target, demonstrating exceptional returns on equity despite high leverage [4]. Revenue growth YoY of 14.24% (full-year 2025) comfortably exceeds the 10% target, though Q1 2026 organic growth moderated to 3.5% [1]. Revenue 5yr CAGR of approximately 10.6% (including Stericycle acquisition contribution) meets the 10% target [4]. Forward P/E of 25.76 and PEG of 2.20 reflect premium valuation for this defensive compounder. Profit margin of 10.99% is below the 20% target but operating EBITDA margin hit 31.3% — the sub-60% OpEx ratio milestone reflects genuine operational excellence [1]. Free cash flow grew 26.8% to $2.94B in 2025 with guidance of $3.75-3.85B in 2026 (+29.4%), representing exceptional cash generation [1]. Liquidity strong at approximately $702M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WM plays a long game by nature — landfill assets have multi-decade useful lives, municipal contracts extend for 10-20 years, and sustainability investments in renewable energy and recycling represent 20+ year capital commitments. CEO Jim Fish's People First approach to automation and the bold Stericycle acquisition demonstrate strategic patience. The company's evolution from pure waste collector to environmental services platform reflects genuine long-term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WM's sustainability-centered purpose — turning waste into resources and renewable energy — is genuine, backed by decades of infrastructure investment, and validated by a $235M+ sustainability EBITDA contribution [3][1]. The environmental justice disclosure and 70% alternative fuel fleet conversion demonstrate the cause shapes operational decisions, not just annual reports. However, this purpose emerged gradually from operational realities rather than founding vision, keeping it just below the highest tier.</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Fish's 'People First' philosophy manifests in concrete decisions: managing 5,000 position reductions through attrition rather than layoffs, investing in safety automation to reduce injuries on physically demanding routes, and promoting John Morris to President after years of internal development [2]. The decision to name a People First strategy rather than a cost-reduction strategy signals organizational values. Employee sentiment in the top 50% of similar-sized companies provides adequate baseline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WM acknowledges Republic Services and other waste operators as driving industry-wide improvements in recycling technology and sustainability practices [1]. The company's competitive language focuses on operational excellence and customer value — 'maximizing resource value' — rather than market share dominance. The NWRA Waste Leadership Summit participation shows industry collaboration alongside competition [2]. This reflects a healthier competitive orientation than most large-cap industrials.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WM has meaningfully evolved from a pure collection-and-disposal company to an environmental services platform encompassing renewable energy ($235M+ EBITDA from sustainability), medical waste (Stericycle), and advanced AI-powered recycling [1]. The 70% alternative fuel fleet conversion positions for energy transition. However, the core landfill and collection business remains dominant, and the evolution is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$7.2B Stericycle acquisition during elevated interest rates was a bold bet that temporarily increased D/E to 228%, but management projects rapid deleveraging through $3.75-3.85B guided free cash flow in 2026 (+29.4% YoY) [1]. Investing $700M+ in MRF upgrades and committing to 70% alternative fuel fleet conversion require long-term conviction over quarterly optimization [3]. The sub-60% operating expense ratio achievement — a first in company history — validates the courage to invest in operational transformation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WM is the dominant North American environmental services operator delivering $25.2B in 2025 revenue with improving operational efficiency — operating expenses fell below 60% for the first time in company history, driving 31.3% EBITDA margin [1]. Free cash flow grew 26.8% to $2.94B with ~29.4% growth guided to $3.75-3.85B in 2026, enabling rapid Stericycle deleveraging and sustained shareholder returns [1]. Core pricing power (5.4-5.8% annual price increases), volume recovery, and $235-255M sustainability EBITDA contribution provide multiple growth vectors. At 25.8x forward earnings with mid-single-digit revenue growth accelerating to mid-teens EPS growth, WM offers defensive compounding in an essential-services business with multi-decade landfill asset lives and deep regulatory moats. Faith alignment is ALIGNED at +39 with zero negative attributions [4].</w:t>
      </w:r>
    </w:p>
    <w:p>
      <w:pPr>
        <w:spacing w:after="120"/>
      </w:pPr>
      <w:r>
        <w:rPr>
          <w:rFonts w:ascii="Calibri" w:hAnsi="Calibri"/>
          <w:b w:val="0"/>
          <w:color w:val="3A4A28"/>
          <w:sz w:val="20"/>
        </w:rPr>
        <w:t>The bear case centers on premium valuation and elevated leverage. At 31.2x trailing P/E and 25.8x forward P/E, WM trades at a substantial premium to the industrials sector, leaving limited margin of safety if growth disappoints [4]. D/E of 228% from the $7.2B Stericycle acquisition constrains financial flexibility, with $22.89B total debt creating meaningful interest expense in a higher-rate environment. The 1.75% dividend yield is below the 2% threshold for income-focused investors despite 21 consecutive years of growth and 8.6% 5yr CAGR [4]. Q1 2026 organic revenue growth moderated to 3.5% from the 14.24% full-year 2025 pace (which included Stericycle acquisition contribution), raising questions about underlying organic momentum. Recycling commodity price volatility creates earnings lumpiness, and extended producer responsibility (EPR) legislation spreading across states could impose new regulatory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Free cash flow guided to grow 29.4% to $3.75-3.85B in 2026, enabling accelerated debt paydown, share repurchases, and continued dividend growth after 21 consecutive years of increases [1]</w:t>
      </w:r>
    </w:p>
    <w:p>
      <w:pPr>
        <w:spacing w:before="40" w:after="40"/>
        <w:ind w:left="283"/>
      </w:pPr>
      <w:r>
        <w:rPr>
          <w:rFonts w:ascii="Calibri" w:hAnsi="Calibri"/>
          <w:b/>
          <w:color w:val="4A6B25"/>
          <w:sz w:val="20"/>
        </w:rPr>
        <w:t xml:space="preserve">2. </w:t>
      </w:r>
      <w:r>
        <w:rPr>
          <w:rFonts w:ascii="Calibri" w:hAnsi="Calibri"/>
          <w:b w:val="0"/>
          <w:color w:val="3A4A28"/>
          <w:sz w:val="20"/>
        </w:rPr>
        <w:t>Sustainability segment scaling to $235-255M operating EBITDA in 2026 from renewable energy and recycling, establishing a growing, high-margin earnings contributor differentiated from core waste operations [1]</w:t>
      </w:r>
    </w:p>
    <w:p>
      <w:pPr>
        <w:spacing w:before="40" w:after="40"/>
        <w:ind w:left="283"/>
      </w:pPr>
      <w:r>
        <w:rPr>
          <w:rFonts w:ascii="Calibri" w:hAnsi="Calibri"/>
          <w:b/>
          <w:color w:val="4A6B25"/>
          <w:sz w:val="20"/>
        </w:rPr>
        <w:t xml:space="preserve">3. </w:t>
      </w:r>
      <w:r>
        <w:rPr>
          <w:rFonts w:ascii="Calibri" w:hAnsi="Calibri"/>
          <w:b w:val="0"/>
          <w:color w:val="3A4A28"/>
          <w:sz w:val="20"/>
        </w:rPr>
        <w:t>Stericycle integration synergies materializing through 2026-2027 as medical waste platform cross-sells to WM's existing commercial and industrial customer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at 228% D/E with $22.89B total debt from Stericycle acquisition — constrains financial flexibility and increases refinancing risk if interest rates remain elevated [4]</w:t>
      </w:r>
    </w:p>
    <w:p>
      <w:pPr>
        <w:spacing w:before="40" w:after="40"/>
        <w:ind w:left="283"/>
      </w:pPr>
      <w:r>
        <w:rPr>
          <w:rFonts w:ascii="Calibri" w:hAnsi="Calibri"/>
          <w:b/>
          <w:color w:val="4A6B25"/>
          <w:sz w:val="20"/>
        </w:rPr>
        <w:t xml:space="preserve">2. </w:t>
      </w:r>
      <w:r>
        <w:rPr>
          <w:rFonts w:ascii="Calibri" w:hAnsi="Calibri"/>
          <w:b w:val="0"/>
          <w:color w:val="3A4A28"/>
          <w:sz w:val="20"/>
        </w:rPr>
        <w:t>Premium valuation at 31.2x trailing P/E leaves limited margin of safety if organic revenue growth continues to moderate from the 14.24% full-year 2025 pace toward Q1 2026's 3.5% [1][4]</w:t>
      </w:r>
    </w:p>
    <w:p>
      <w:pPr>
        <w:spacing w:before="40" w:after="40"/>
        <w:ind w:left="283"/>
      </w:pPr>
      <w:r>
        <w:rPr>
          <w:rFonts w:ascii="Calibri" w:hAnsi="Calibri"/>
          <w:b/>
          <w:color w:val="4A6B25"/>
          <w:sz w:val="20"/>
        </w:rPr>
        <w:t xml:space="preserve">3. </w:t>
      </w:r>
      <w:r>
        <w:rPr>
          <w:rFonts w:ascii="Calibri" w:hAnsi="Calibri"/>
          <w:b w:val="0"/>
          <w:color w:val="3A4A28"/>
          <w:sz w:val="20"/>
        </w:rPr>
        <w:t>Recycling commodity price volatility and potential environmental regulation changes (EPR legislation) could create earnings variability and impose new compliance costs on operations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Waste collection, landfill operations, and recycling processing are fundamentally physical-world activities that AI structurally cannot substitute [2]. WM's competitive moat — route density, landfill permits (multi-decade permitting processes), regulatory compliance infrastructure, and long-term municipal contracts — is built on physical assets and government relationships that no AI model can replicate. AI-driven data centers and manufacturing growth actually increase waste volumes, making WM a net beneficiary of the AI economy [1]. WM's 60,000+ employees operating thousands of collection trucks, transfer stations, and landfills represent an asset-heavy business model inherently resistant to software disruption. AI Opportunity (0/1): WM uses AI and automation to improve recycling throughput, fleet route optimization, and predictive maintenance, generating operational savings rather than AI-specific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WM Q4 / Full-Year 2025 and Q1 2026 Earnings Releases — $25.2B revenue, 31.3% EBITDA margin, $2.94B FCF, Q1 2026 $6.23B revenue, EPS $1.79, 2026 guidance, Waste Today/Waste360, 2026</w:t>
      </w:r>
    </w:p>
    <w:p>
      <w:pPr>
        <w:spacing w:before="20" w:after="20"/>
        <w:ind w:left="170"/>
      </w:pPr>
      <w:r>
        <w:rPr>
          <w:rFonts w:ascii="Calibri" w:hAnsi="Calibri"/>
          <w:b/>
          <w:color w:val="4A6B25"/>
          <w:sz w:val="15"/>
        </w:rPr>
        <w:t xml:space="preserve">2. </w:t>
      </w:r>
      <w:r>
        <w:rPr>
          <w:rFonts w:ascii="Calibri" w:hAnsi="Calibri"/>
          <w:b w:val="0"/>
          <w:color w:val="3A4A28"/>
          <w:sz w:val="17"/>
        </w:rPr>
        <w:t>WM Leadership / AI Strategy — CEO Jim Fish People First philosophy, John Morris President appointment, AI-powered recycling automation, NWRA Waste Leadership Summit, AINvest/Recycling Today, 2025-2026</w:t>
      </w:r>
    </w:p>
    <w:p>
      <w:pPr>
        <w:spacing w:before="20" w:after="20"/>
        <w:ind w:left="170"/>
      </w:pPr>
      <w:r>
        <w:rPr>
          <w:rFonts w:ascii="Calibri" w:hAnsi="Calibri"/>
          <w:b/>
          <w:color w:val="4A6B25"/>
          <w:sz w:val="15"/>
        </w:rPr>
        <w:t xml:space="preserve">3. </w:t>
      </w:r>
      <w:r>
        <w:rPr>
          <w:rFonts w:ascii="Calibri" w:hAnsi="Calibri"/>
          <w:b w:val="0"/>
          <w:color w:val="3A4A28"/>
          <w:sz w:val="17"/>
        </w:rPr>
        <w:t>WM Sustainability / ESG — Environmental justice disclosure, 70% alternative fuel fleet, $700M+ MRF investments, 2025 Sustainability Report, Waste Dive, 2022-2025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WM key statistics, stock price $234.27, D/E 228%, ROE 29.94%, forward P/E 25.76, PEG 2.20, profit margin 10.99%, dividend $3.78 (1.75%),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