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WPM</w:t>
      </w:r>
      <w:r>
        <w:rPr>
          <w:rFonts w:ascii="Calibri" w:hAnsi="Calibri"/>
          <w:b/>
          <w:color w:val="1A2010"/>
          <w:sz w:val="40"/>
        </w:rPr>
        <w:t xml:space="preserve">  Wheaton Precious Metals Corp.</w:t>
      </w:r>
    </w:p>
    <w:p>
      <w:pPr>
        <w:spacing w:after="120"/>
      </w:pPr>
      <w:r>
        <w:rPr>
          <w:rFonts w:ascii="Calibri" w:hAnsi="Calibri"/>
          <w:b/>
          <w:color w:val="6E8450"/>
          <w:sz w:val="18"/>
        </w:rPr>
        <w:t>GROWTH SLEEVE · 2026-07-13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Wheaton Precious Metals Corp. is the world's largest precious metals streaming company. It provides upfront capital to mining companies in exchange for the right to purchase a percentage of future gold, silver, palladium, and cobalt production at pre-set low prices. The company holds streaming agreements on 18 operating mines and 28 development-stage projects globally. Founded in 2004 as Silver Wheaton and headquartered in Vancouver, Canada, Wheaton operates with approximately 42 employees.</w:t>
      </w:r>
    </w:p>
    <w:p>
      <w:r>
        <w:rPr>
          <w:rFonts w:ascii="Calibri" w:hAnsi="Calibri"/>
          <w:b/>
          <w:color w:val="6E8450"/>
          <w:sz w:val="18"/>
        </w:rPr>
        <w:t>42 Employees · https://www.wheatonpm.com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Wheaton has not launched new products or undergone a business model transformation in the traditional sense, but has expanded the streaming model from silver-only (as Silver Wheaton) to gold, palladium, and cobalt, and executed over $11B in streaming transactions under CEO Randy Smallwood's tenure [2][3]. The recent CEO transition to Haytham Hodaly represents succession planning, not a strategic pivot. AI Deployment (0/2): No AI deployment or strategy evident; Wheaton is a 42-person financial intermediary, not a technology company [3]. Market Share (2/2): Wheaton is the largest precious metals streaming company globally, a category it helped create, with a diversified portfolio of 18 operating mines producing record quarterly revenue of $901M in Q1 2026 [1]. Product Pipeline (1/2): Active pipeline of new streaming deals and development-stage projects (28 in the portfolio) provide future production growth visibility, with 2026 guidance of 860,000-940,000 gold-equivalent ounces [1]. R&amp;D Intensity (0/1): Not applicable; streaming companies have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Wheaton positions itself as 'the highest quality precious metals streaming company' focused on responsible mining partnerships, but this is a functional description of business strategy rather than a purpose that inspires beyond the industry [3]. There is no articulated vision of a better future or deeper reason for existence beyond creating shareholder value through disciplined capital allocation. Community Impact (1/2): Wheaton has invested in community sustainability programs through its mining partners, backs wastewater treatment technology for mine sites, and 85% of partners are committed to industry sustainability standards [4]. However, as a streaming company, Wheaton's direct community impact is limited — it finances mines operated by others. Employee Retention (1/2): The 42-person team has demonstrated exceptional stability, with founder Randy Smallwood serving as CEO for 15+ years before transitioning to Chairman in March 2026, and new CEO Hodaly having been with the company for many years [2][3].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Wheaton delivered record Q1 2026 results: revenue of $901M (up 92% YoY), net earnings of $582M (up 129%), and operating cash flow of $766M (up 112%), driven by surging gold and silver prices combined with 22% production volume growth [1]. The financial profile is exceptional: D/E of 0.08% (essentially debt-free), ROE of 21.54%, and net margin of 65.55% — among the highest of any public company. Forward P/E of 18.77 is below the 20x target, though the estimated PEG of 1.79 reflects limited long-term earnings growth expectations beyond commodity price appreciation [1][5]. The 5-year revenue CAGR of 14.4% is strong, though heavily commodity-price dependent. The sole mechanical drag is the PEG ratio, which penalizes the score slightly due to the streaming model's reliance on gold/silver prices rather than organic operational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Wheaton Precious Metals operates with disciplined consistency and long leadership tenure, but lacks a transcendent purpose beyond creating shareholder value through precious metals streaming. The company's Just Cause is thin — it exists to profit from the spread between low fixed purchase prices and market metal prices, which is inherently a finite financial optimization rather than a vision of a better future. The leadership transition from Smallwood to Hodaly was well-executed, and the company's competitive behavior is constructive, but the streaming model's narrow scope limits the applicability of Sinek's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Wheaton does not articulate a Just Cause in Sinek's terms. The company exists to provide capital to miners in exchange for discounted future metal production — a purely financial optimization [3]. There is no articulated vision of a better future, no mission that inspires beyond profit. 'Highest quality streaming company' describes competitive positioning, not purpose. Strategic decisions are driven by IRR calculations and capital allocation discipline, not by a cause that transcends the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42-person team demonstrates exceptional stability and continuity. Randy Smallwood served as CEO for 15+ years before transitioning to Chairman, and successor Haytham Hodaly has been with the company for many years, having led over $11B in streaming transactions [2][3]. The small team size and long tenure suggest genuine trust and collaboration. However, the team is so small that generalization about organizational culture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Wheaton competes with Franco-Nevada and Royal Gold in the streaming/royalty space with a focus on building the best portfolio rather than market share warfare [1]. Management's competitive language emphasizes disciplined deal-making and asset quality rather than attacking rivals, and the streaming industry has coexisted constructively with each company focusing on its strengths rather than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Wheaton evolved from Silver Wheaton (pure silver streaming) to Wheaton Precious Metals (gold, silver, palladium, cobalt), expanding both the commodity scope and geographic reach of the streaming model [3]. The addition of development-stage project streams alongside operating mines demonstrates strategic adaptation. However, the core business model — upfront capital for discounted future production — has remained fundamentally unchanged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Smallwood maintained a consistent strategy of disciplined, quality-focused streaming deals through multiple commodity cycles, resisting the temptation to over-lever or chase marginal deals during gold price peaks [2][3]. The leadership transition to Hodaly was proactive and well-planned rather than forced. However, the streaming model's inherent financial discipline (low capital commitments relative to potential returns) means these decisions carried relatively low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Wheaton Precious Metals delivered record Q1 2026 results with $901M revenue (up 92%), $582M net earnings (up 129%), and $766M operating cash flow (up 112%), driven by surging gold and silver prices combined with 22% production volume growth [1]. The financial profile is extraordinary: 65.55% net margin, 21.54% ROE, and virtually no debt (D/E 0.08%). The streaming model provides leveraged exposure to precious metals prices with minimal operating risk — Wheaton assumes no mining operational risk, capex obligations, or environmental liabilities while capturing the upside from rising metal prices. The Forward P/E of 18.77 is reasonable for a business with this quality of earnings, and the progressive dividend (up 18% in 2026) signals management confidence [1][5].</w:t>
      </w:r>
    </w:p>
    <w:p>
      <w:pPr>
        <w:spacing w:after="120"/>
      </w:pPr>
      <w:r>
        <w:rPr>
          <w:rFonts w:ascii="Calibri" w:hAnsi="Calibri"/>
          <w:b w:val="0"/>
          <w:color w:val="3A4A28"/>
          <w:sz w:val="20"/>
        </w:rPr>
        <w:t>The bear case is straightforward: Wheaton is a leveraged bet on gold and silver prices, and Q1 2026's 92% revenue growth was driven overwhelmingly by commodity prices, not operational improvement. Production volume grew 22%, but revenue nearly doubled because gold averaged $2,900+/oz versus $2,100 a year prior [1]. If gold prices revert to historical averages, revenue and earnings would contract sharply with no operational levers to offset the decline. The PEG ratio of 1.79 reflects limited organic growth beyond commodity price exposure. At $116 per share and 27.8x trailing earnings, the stock already prices in elevated metal prices continuing. The CEO transition from Smallwood to Hodaly introduces execution risk, though the orderly succession mitigates this. The 0.71% dividend yield provides minimal income support for investors in a declining metal price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gold prices above $2,500/oz would drive continued record revenue and earnings, with each $100/oz gold price increase adding approximately $80-100M in annual revenue given the low fixed cost structure</w:t>
      </w:r>
    </w:p>
    <w:p>
      <w:pPr>
        <w:spacing w:before="40" w:after="40"/>
        <w:ind w:left="283"/>
      </w:pPr>
      <w:r>
        <w:rPr>
          <w:rFonts w:ascii="Calibri" w:hAnsi="Calibri"/>
          <w:b/>
          <w:color w:val="4A6B25"/>
          <w:sz w:val="20"/>
        </w:rPr>
        <w:t xml:space="preserve">2. </w:t>
      </w:r>
      <w:r>
        <w:rPr>
          <w:rFonts w:ascii="Calibri" w:hAnsi="Calibri"/>
          <w:b w:val="0"/>
          <w:color w:val="3A4A28"/>
          <w:sz w:val="20"/>
        </w:rPr>
        <w:t>Development-stage projects (28 in the portfolio) transitioning to production would increase gold-equivalent ounce output beyond the 860K-940K 2026 guidance, providing organic volume growth independent of metal prices</w:t>
      </w:r>
    </w:p>
    <w:p>
      <w:pPr>
        <w:spacing w:before="40" w:after="40"/>
        <w:ind w:left="283"/>
      </w:pPr>
      <w:r>
        <w:rPr>
          <w:rFonts w:ascii="Calibri" w:hAnsi="Calibri"/>
          <w:b/>
          <w:color w:val="4A6B25"/>
          <w:sz w:val="20"/>
        </w:rPr>
        <w:t xml:space="preserve">3. </w:t>
      </w:r>
      <w:r>
        <w:rPr>
          <w:rFonts w:ascii="Calibri" w:hAnsi="Calibri"/>
          <w:b w:val="0"/>
          <w:color w:val="3A4A28"/>
          <w:sz w:val="20"/>
        </w:rPr>
        <w:t>Progressive dividend policy with 18% increase in 2026 and low 15% payout ratio provides substantial room for continued dividend growth, potentially attracting income-oriented investors as the yield expands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is 90%+ correlated to gold and silver spot prices — a return to sub-$2,000/oz gold would compress revenue by 30-40% and eliminate the record earnings narrative underpinning the current valuation</w:t>
      </w:r>
    </w:p>
    <w:p>
      <w:pPr>
        <w:spacing w:before="40" w:after="40"/>
        <w:ind w:left="283"/>
      </w:pPr>
      <w:r>
        <w:rPr>
          <w:rFonts w:ascii="Calibri" w:hAnsi="Calibri"/>
          <w:b/>
          <w:color w:val="4A6B25"/>
          <w:sz w:val="20"/>
        </w:rPr>
        <w:t xml:space="preserve">2. </w:t>
      </w:r>
      <w:r>
        <w:rPr>
          <w:rFonts w:ascii="Calibri" w:hAnsi="Calibri"/>
          <w:b w:val="0"/>
          <w:color w:val="3A4A28"/>
          <w:sz w:val="20"/>
        </w:rPr>
        <w:t>P/E of 27.8x trailing and PEG of 1.79 reflect premium valuation that assumes sustained elevated metal prices; any mean reversion would trigger multiple compression on top of earnings decline</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15-year veteran Randy Smallwood to Haytham Hodaly introduces leadership continuity risk, though the orderly succession and Hodaly's deep company tenure mitigate this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Wheaton Precious Metals is structurally immune to AI disruption. The company's business is providing upfront capital to mining operations in exchange for future physical precious metals production at pre-set prices — a financial structure on top of physical commodities that AI has no pathway to replicate or disrupt [1][2]. Gold and silver are physical stores of value with 5,000+ years of monetary history; AI cannot substitute for their role in portfolios, jewelry, or industrial applications. The mining operations Wheaton finances involve physical extraction from the earth, processing, and refining — activities that require heavy machinery, geological expertise, and massive capital investment. AI may actually increase demand for precious metals as a hedge against monetary inflation from AI-driven productivity gains. AI Opportunity (0/1): No AI revenue or products; Wheaton is a 42-person financial intermediary without technology operations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Wheaton Precious Metals Q1 2026 Earnings Release — Record Revenue, Earnings and Cash Flow, prnewswire.com, May 2026</w:t>
      </w:r>
    </w:p>
    <w:p>
      <w:pPr>
        <w:spacing w:before="20" w:after="20"/>
        <w:ind w:left="170"/>
      </w:pPr>
      <w:r>
        <w:rPr>
          <w:rFonts w:ascii="Calibri" w:hAnsi="Calibri"/>
          <w:b/>
          <w:color w:val="4A6B25"/>
          <w:sz w:val="15"/>
        </w:rPr>
        <w:t xml:space="preserve">2. </w:t>
      </w:r>
      <w:r>
        <w:rPr>
          <w:rFonts w:ascii="Calibri" w:hAnsi="Calibri"/>
          <w:b w:val="0"/>
          <w:color w:val="3A4A28"/>
          <w:sz w:val="17"/>
        </w:rPr>
        <w:t>Wheaton Precious Metals Leadership Evolution Announcement — Hodaly Appointed CEO, Smallwood to Chair, prnewswire.com, March 2026</w:t>
      </w:r>
    </w:p>
    <w:p>
      <w:pPr>
        <w:spacing w:before="20" w:after="20"/>
        <w:ind w:left="170"/>
      </w:pPr>
      <w:r>
        <w:rPr>
          <w:rFonts w:ascii="Calibri" w:hAnsi="Calibri"/>
          <w:b/>
          <w:color w:val="4A6B25"/>
          <w:sz w:val="15"/>
        </w:rPr>
        <w:t xml:space="preserve">3. </w:t>
      </w:r>
      <w:r>
        <w:rPr>
          <w:rFonts w:ascii="Calibri" w:hAnsi="Calibri"/>
          <w:b w:val="0"/>
          <w:color w:val="3A4A28"/>
          <w:sz w:val="17"/>
        </w:rPr>
        <w:t>Wheaton Precious Metals Corporate Website and Company Profile — wheatonpm.com,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Wheaton Precious Metals ESG Ratings and Sustainability Commitments — Sustainalytics, MSCI AA, S&amp;P Global</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WPM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