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WRB</w:t>
      </w:r>
      <w:r>
        <w:rPr>
          <w:rFonts w:ascii="Calibri" w:hAnsi="Calibri"/>
          <w:b/>
          <w:color w:val="1A2010"/>
          <w:sz w:val="40"/>
        </w:rPr>
        <w:t xml:space="preserve">  W. R. Berkley Corporation</w:t>
      </w:r>
    </w:p>
    <w:p>
      <w:pPr>
        <w:spacing w:after="120"/>
      </w:pPr>
      <w:r>
        <w:rPr>
          <w:rFonts w:ascii="Calibri" w:hAnsi="Calibri"/>
          <w:b/>
          <w:color w:val="6E8450"/>
          <w:sz w:val="18"/>
        </w:rPr>
        <w:t>DIVIDEND SLEEVE · 2026-07-14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W. R. Berkley Corporation is a specialty commercial lines insurance holding company operating through approximately 60 decentralized business units across Insurance and Reinsurance and Monoline Excess segments. The company underwrites commercial insurance including excess and surplus lines, admitted lines, specialty personal lines, and reinsurance worldwide. Founded in 1967 by William R. Berkley (passed June 2026), now led by W. Robert Berkley Jr. as President, CEO, and Chairman. Headquartered in Greenwich, Connecticut.</w:t>
      </w:r>
    </w:p>
    <w:p>
      <w:r>
        <w:rPr>
          <w:rFonts w:ascii="Calibri" w:hAnsi="Calibri"/>
          <w:b/>
          <w:color w:val="6E8450"/>
          <w:sz w:val="18"/>
        </w:rPr>
        <w:t>9,500 Employees · https://www.berkley.com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W.R. Berkley has maintained its proven decentralized operating model of approximately 60 specialized business units over the past five years, entering new specialty niches and expanding internationally, but without a transformative product launch or business model pivot [1]. The organizational innovation of decentralized underwriting authority is proven but decades old. No new market-defining products or pivots in the last five years. AI Deployment (1/2): WRB deploys machine learning models to improve loss trend prediction and enhance underwriting efficiency across its specialized businesses, and uses advanced data analytics and AI to identify trends in complex claims [3]. These are internal operational improvements, not customer-facing AI products, but represent meaningful AI adoption for an insurance company. Market Share (1/2): WRB is a respected Top-20 commercial lines insurer in the US with strong positions in specialty excess and surplus lines, but is significantly smaller than Chubb, AIG, or Travelers. The company competes through underwriting discipline and specialization rather than scale or market dominance [1]. Product Pipeline (0/2): No specific next-generation insurance products were announced with timelines. Insurance innovation tends to be incremental — new coverage forms, geographic expansion, rate adjustments — rather than discrete product launches. R&amp;D Intensity (0/1): Insurance companies do not maintain traditional R&amp;D programs. Investment is directed toward underwriting talent, data analytics, and technology infrastructure rather than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WRB's guiding principles — 'Everything Counts, Everyone Matters,' 'Always Do Right,' 'Act Responsibly,' and 'Embrace Innovation' — are specific, thoughtful, and clearly connect to the company's entrepreneurial culture and underwriting discipline. Founder William R. Berkley built these principles over 59 years, and they are validated by the company's consistently superior combined ratios and ROE relative to peers [1][3]. The culture of decentralized entrepreneurship within a disciplined risk management framework reflects genuine intentionality about purpose. Community Impact (1/2): WRB's ESG framework includes a Human Capital and Community pillar with investment in talent development and employee engagement [3]. The company's 2025 Sustainability Report outlines community initiatives, though specific dollar amounts and standout programs were not prominently cited. General corporate citizenship rather than distinctive community investment. Employee Retention (1/2): The decentralized operating model empowers individual business unit leaders with underwriting authority, suggesting a high-trust culture. The company emphasizes specialized knowledge and entrepreneurship as cultural values [3]. The stable leadership structure — W. Robert Berkley Jr. continuing as CEO after the founder's passing — suggests organizational continuity. However, no specific retention metrics or tenure data were available. Insider Buying (2/2): Extraordinary insider buying in 2026. Mitsui Sumitomo Insurance (10% owner) acquired nearly 8 million shares between December 2025 and February 2026, totaling approximately  million at prices of - per share [5]. Additional insider purchases of .56M in February 2026 by the same 10% owner. This represents one of the largest insider buying programs in the insurance sector, signaling deep conviction from a sophisticated institutional owner.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 xml:space="preserve">Mechanically scored on available metrics. Q1 2026 delivered record operating income of .3M (up 22.5%), net income of </w:t>
        <w:br/>
        <w:t>.2M (up 23.4%), and ROE of 21.2% exceeding the company's stated 15% target [1][2]. The consolidated GAAP combined ratio of 90.7% is excellent, indicating strong underwriting profitability. D/E of 32% is very conservative for a financial company, reflecting \.1B debt against .07B in assets [4]. ROE of 20.16% substantially exceeds the 15% target. Forward P/E of 16.17 is well below the 20 target. Profit margin of 12.64% is below the 20% ideal but appropriate for a P&amp;C insurer where premium-to-earnings conversion is naturally lower. Payout ratio of 39.63% is below the 40% target. Net investment income grew 12.2% to a record .3M [2]. The primary weakness is modest revenue growth of 4.0% YoY and consecutive dividend growth of only 3 years (WRB historically used special dividends rather than consistent regular increases).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W.R. Berkley demonstrates meaningful infinite game characteristics rooted in its 59-year history of consistent underwriting discipline and entrepreneurial culture. Founder William R. Berkley built an enduring institution through the 'Everything Counts, Everyone Matters' philosophy, and the smooth succession to his son W. Robert Berkley Jr. after the founder's June 2026 passing validates the durability of the culture beyond any single leader. The decentralized model that empowers 60+ operating units reflects genuine trust in people. However, the company is fundamentally a well-run insurance business without a transformative purpose beyond disciplined risk-adjusted returns — the cause is operational excellence rather than a vision of a future worth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WRB's guiding principles — 'Everything Counts, Everyone Matters,' 'Always Do Right,' 'Act Responsibly,' and 'Embrace Innovation' — represent a genuine and distinctive purpose that has been partially validated by 59 years of execution. The culture of decentralized entrepreneurship within disciplined risk management has survived the founder's passing in June 2026 and the smooth transition to W. Robert Berkley Jr. as CEO/Chairman [3]. Strategic decisions clearly trace to these principles: the company consistently walks away from underpriced business rather than chasing premium volume, demonstrating that the culture shapes behavior. However, the purpose is ultimately about operational excellence in insurance rather than a transformative vision of a better future — it lacks the aspirational quality of a true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WRB's decentralized model of 60+ operating units, each with significant underwriting authority, represents a high-trust organizational structure that is unusual in the insurance industry [3]. Unit leaders are empowered to make risk decisions within their domains without corporate micromanagement. The culture emphasizes specialized knowledge and entrepreneurship, suggesting employees are trusted with meaningful autonomy. The smooth leadership transition after the founder's death demonstrates organizational stability. However, no specific employee retention data, tenure statistics, or turnover metrics were available to confirm the lived experience matches the structural design.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WRB's competitive approach exemplifies infinite game thinking. Rather than competing on premium volume or market share against larger insurers like Chubb or Travelers, WRB focuses on underwriting discipline and risk-adjusted returns. The company explicitly walks away from business when pricing doesn't meet their standards, even when competitors are growing. Management's Q1 2026 commentary about 'growth pivot amid intensifying competition' focused on maintaining underwriting quality rather than winning market share [2]. This self-improvement orientation, rather than competitor-destruction mindset, is consistent with worthy rival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59 years, WRB has evolved from a single insurance operation to a diversified holding company with 60+ specialized units covering commercial lines, excess &amp; surplus, specialty personal lines, and reinsurance globally. The company has adapted to shifting insurance market cycles, entering and exiting business lines as conditions warrant. The decentralized model allows individual units to pivot to new specialty niches without corporate-level transformation. However, WRB has always been an insurance company — there has been no transformative reinvention of the core business model, just continuous adaptation within the same industry.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WRB has consistently demonstrated the courage to walk away from underpriced business, even during soft insurance market cycles when competitors chase premium volume. This discipline has produced a long-term combined ratio that consistently outperforms the industry average [2]. The company maintained underwriting standards during market softening rather than sacrificing profitability for growth. However, these decisions are informed by quantitative discipline rather than visionary courage — they represent excellent risk management more than bold strategic bets that sacrifice near-term results for transformative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W.R. Berkley is a best-in-class specialty P&amp;C insurer delivering record Q1 2026 operating income of .3M (up 22.5%) with ROE of 21.2% and a combined ratio of 90.7%, demonstrating consistent underwriting discipline that outperforms the industry [1][2]. Forward P/E of 16.17 is attractive for a company generating 20%+ ROE with a conservative D/E of 32%. Net investment income grew 12.2% to a record .3M, providing a growing earnings stream independent of underwriting. The 2.52% dividend yield with a 39.63% payout ratio is well-covered and growing (18.4% YoY increase). Mitsui Sumitomo Insurance's M insider buying program in early 2026 signals deep institutional conviction from a sophisticated insurance company partner [5]. The decentralized model of 60+ operating units provides built-in diversification across specialty lines and geographies.</w:t>
      </w:r>
    </w:p>
    <w:p>
      <w:pPr>
        <w:spacing w:after="120"/>
      </w:pPr>
      <w:r>
        <w:rPr>
          <w:rFonts w:ascii="Calibri" w:hAnsi="Calibri"/>
          <w:b w:val="0"/>
          <w:color w:val="3A4A28"/>
          <w:sz w:val="20"/>
        </w:rPr>
        <w:t>The primary concern is W.R. Berkley's modest topline growth — revenue increased only 4.0% in Q1 2026, and gross premiums written grew 4.5%, suggesting the company is prioritizing underwriting discipline over growth as competition intensifies [2]. The PEG ratio of 3.57 signals the stock is expensive relative to its growth rate, meaning further upside depends on multiple expansion rather than earnings acceleration. The passing of founder William R. Berkley in June 2026 introduces leadership transition risk, though W. Robert Berkley Jr.'s continuation as CEO/Chairman provides continuity. The insurance industry is cyclical — the current favorable pricing environment (7.2% rate increases ex-workers' comp) will eventually soften, compressing margins. Profit margin of 12.64% is structurally lower than technology or healthcare companies, limiting the theoretical ceiling for ROE expansion. Innovation is incremental in insurance, and WRB has limited ability to create the kind of step-function growth that higher-scoring IOWN stocks deliver.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Net investment income growing 12.2% to record levels as the fixed-income portfolio benefits from higher-for-longer interest rates, providing a durable earnings tailwind independent of underwriting results</w:t>
      </w:r>
    </w:p>
    <w:p>
      <w:pPr>
        <w:spacing w:before="40" w:after="40"/>
        <w:ind w:left="283"/>
      </w:pPr>
      <w:r>
        <w:rPr>
          <w:rFonts w:ascii="Calibri" w:hAnsi="Calibri"/>
          <w:b/>
          <w:color w:val="4A6B25"/>
          <w:sz w:val="20"/>
        </w:rPr>
        <w:t xml:space="preserve">2. </w:t>
      </w:r>
      <w:r>
        <w:rPr>
          <w:rFonts w:ascii="Calibri" w:hAnsi="Calibri"/>
          <w:b w:val="0"/>
          <w:color w:val="3A4A28"/>
          <w:sz w:val="20"/>
        </w:rPr>
        <w:t>Mitsui Sumitomo Insurance partnership deepening with M stock purchase, potentially opening Japanese and Asian specialty insurance market opportunities and strategic collaboration</w:t>
      </w:r>
    </w:p>
    <w:p>
      <w:pPr>
        <w:spacing w:before="40" w:after="40"/>
        <w:ind w:left="283"/>
      </w:pPr>
      <w:r>
        <w:rPr>
          <w:rFonts w:ascii="Calibri" w:hAnsi="Calibri"/>
          <w:b/>
          <w:color w:val="4A6B25"/>
          <w:sz w:val="20"/>
        </w:rPr>
        <w:t xml:space="preserve">3. </w:t>
      </w:r>
      <w:r>
        <w:rPr>
          <w:rFonts w:ascii="Calibri" w:hAnsi="Calibri"/>
          <w:b w:val="0"/>
          <w:color w:val="3A4A28"/>
          <w:sz w:val="20"/>
        </w:rPr>
        <w:t>Continued favorable pricing environment with 7.2% average rate increases (ex-workers' comp) supporting underwriting margin expansion and combined ratio improvement below 91%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of only 4.0% YoY and PEG ratio of 3.57 signal a stock priced for perfection relative to its modest growth trajectory, leaving limited upside if underwriting conditions soften</w:t>
      </w:r>
    </w:p>
    <w:p>
      <w:pPr>
        <w:spacing w:before="40" w:after="40"/>
        <w:ind w:left="283"/>
      </w:pPr>
      <w:r>
        <w:rPr>
          <w:rFonts w:ascii="Calibri" w:hAnsi="Calibri"/>
          <w:b/>
          <w:color w:val="4A6B25"/>
          <w:sz w:val="20"/>
        </w:rPr>
        <w:t xml:space="preserve">2. </w:t>
      </w:r>
      <w:r>
        <w:rPr>
          <w:rFonts w:ascii="Calibri" w:hAnsi="Calibri"/>
          <w:b w:val="0"/>
          <w:color w:val="3A4A28"/>
          <w:sz w:val="20"/>
        </w:rPr>
        <w:t>Insurance market cycle risk — the current hard-market pricing discipline will eventually give way to competitive softening, compressing WRB's industry-leading combined ratio and ROE toward peer averages</w:t>
      </w:r>
    </w:p>
    <w:p>
      <w:pPr>
        <w:spacing w:before="40" w:after="40"/>
        <w:ind w:left="283"/>
      </w:pPr>
      <w:r>
        <w:rPr>
          <w:rFonts w:ascii="Calibri" w:hAnsi="Calibri"/>
          <w:b/>
          <w:color w:val="4A6B25"/>
          <w:sz w:val="20"/>
        </w:rPr>
        <w:t xml:space="preserve">3. </w:t>
      </w:r>
      <w:r>
        <w:rPr>
          <w:rFonts w:ascii="Calibri" w:hAnsi="Calibri"/>
          <w:b w:val="0"/>
          <w:color w:val="3A4A28"/>
          <w:sz w:val="20"/>
        </w:rPr>
        <w:t>Founder William R. Berkley's passing in June 2026 creates long-term cultural risk, as the entrepreneurial culture he built over 59 years must now sustain without its architect, even with his son continuing as CEO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W.R. Berkley's specialty commercial insurance business has meaningful defensive moats against AI disruption. Insurance underwriting requires regulatory licenses, capital adequacy compliance, established broker relationships, proprietary loss data built over decades, and human judgment for complex commercial risks [1]. The regulated nature of insurance — rate filings, claims handling regulations, and capital requirements — creates structural barriers that AI cannot bypass. WRB's focus on specialty lines (excess &amp; surplus, specialty commercial) requires the kind of nuanced risk assessment and relationship-based underwriting that AI augments rather than replaces. However, some commoditized commercial lines could see AI-driven pricing pressure and disintermediation of simpler underwriting decisions. Insurtech competitors are using AI to automate portions of the insurance value chain, though primarily in personal lines rather than WRB's specialty commercial focus. AI Opportunity (1/1): WRB actively deploys machine learning models for loss trend prediction, underwriting efficiency, and claims analytics across its 60+ operating units [3]. These AI tools contribute to the company's industry-leading combined ratio of 90.7% by improving risk selection and pricing accuracy. While not a discrete 'AI revenue' line, the operational improvements from AI deployment are directly enhancing underwriting profitability and represent meaningful AI-driven value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W.R. Berkley Q1 2026 Earnings Release — Record Operating Income .3M, Insurance Journal, April 2026</w:t>
      </w:r>
    </w:p>
    <w:p>
      <w:pPr>
        <w:spacing w:before="20" w:after="20"/>
        <w:ind w:left="170"/>
      </w:pPr>
      <w:r>
        <w:rPr>
          <w:rFonts w:ascii="Calibri" w:hAnsi="Calibri"/>
          <w:b/>
          <w:color w:val="4A6B25"/>
          <w:sz w:val="15"/>
        </w:rPr>
        <w:t xml:space="preserve">2. </w:t>
      </w:r>
      <w:r>
        <w:rPr>
          <w:rFonts w:ascii="Calibri" w:hAnsi="Calibri"/>
          <w:b w:val="0"/>
          <w:color w:val="3A4A28"/>
          <w:sz w:val="17"/>
        </w:rPr>
        <w:t>W.R. Berkley Q1 2026 Earnings Call Transcript — ROE 21.2%, Growth Pivot Commentary, Investing.com/BigGo Finance, April 2026</w:t>
      </w:r>
    </w:p>
    <w:p>
      <w:pPr>
        <w:spacing w:before="20" w:after="20"/>
        <w:ind w:left="170"/>
      </w:pPr>
      <w:r>
        <w:rPr>
          <w:rFonts w:ascii="Calibri" w:hAnsi="Calibri"/>
          <w:b/>
          <w:color w:val="4A6B25"/>
          <w:sz w:val="15"/>
        </w:rPr>
        <w:t xml:space="preserve">3. </w:t>
      </w:r>
      <w:r>
        <w:rPr>
          <w:rFonts w:ascii="Calibri" w:hAnsi="Calibri"/>
          <w:b w:val="0"/>
          <w:color w:val="3A4A28"/>
          <w:sz w:val="17"/>
        </w:rPr>
        <w:t>W.R. Berkley Corporate Culture, AI Strategy, and ESG Framework — SEC Filings, Sustainability Report,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WRB Key Statistics and Financial Ratios,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W.R. Berkley Insider Trading — Mitsui Sumitomo M Purchase, 24/7 Wall St/InsiderTrades,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