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WSC</w:t>
      </w:r>
      <w:r>
        <w:rPr>
          <w:rFonts w:ascii="Calibri" w:hAnsi="Calibri"/>
          <w:b/>
          <w:color w:val="1A2010"/>
          <w:sz w:val="40"/>
        </w:rPr>
        <w:t xml:space="preserve">  WillScot Holdings Corporation</w:t>
      </w:r>
    </w:p>
    <w:p>
      <w:pPr>
        <w:spacing w:after="120"/>
      </w:pPr>
      <w:r>
        <w:rPr>
          <w:rFonts w:ascii="Calibri" w:hAnsi="Calibri"/>
          <w:b/>
          <w:color w:val="6E8450"/>
          <w:sz w:val="18"/>
        </w:rPr>
        <w:t>GROWTH SLEEVE · 2026-07-18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NASDAQ · United States</w:t>
      </w:r>
    </w:p>
    <w:p>
      <w:pPr>
        <w:spacing w:after="80"/>
      </w:pPr>
      <w:r>
        <w:rPr>
          <w:rFonts w:ascii="Calibri" w:hAnsi="Calibri"/>
          <w:b w:val="0"/>
          <w:color w:val="3A4A28"/>
          <w:sz w:val="20"/>
        </w:rPr>
        <w:t>WillScot Holdings Corporation is the North American leader in modular space and portable storage solutions, leasing mobile offices, portable storage containers, and specialty equipment to construction, education, government, retail, and industrial customers through one of the industry's largest branch networks across the US, Canada, Mexico, and UK. Headquartered in Scottsdale, Arizona, the company is increasingly focused on large-project and data-center vertical demand as a growth driver.</w:t>
      </w:r>
    </w:p>
    <w:p>
      <w:r>
        <w:rPr>
          <w:rFonts w:ascii="Calibri" w:hAnsi="Calibri"/>
          <w:b/>
          <w:color w:val="6E8450"/>
          <w:sz w:val="18"/>
        </w:rPr>
        <w:t>5,000 Employees · https://www.willscot.com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WillScot has shifted its growth mix toward large- and mega-project activity, with delivery and installation revenue up 12% YoY in Q1 2026 and management specifically targeting 50% revenue growth in the data-center vertical for 2026 [1] — a meaningful new revenue stream extension, though not a full business-model transformation. AI Deployment (0/2): No evidence was found of AI-powered products, customer-facing AI tools, or quantified AI-driven cost savings. Market Share (1/2): WillScot is the dominant player in a fragmented modular-space market post its 2020 Mobile Mini merger, but no specific share percentage or share-gain data was found. Product Pipeline (2/2): Management cited the data-center project opportunity pipeline up 70% with an explicit H2 2026 leasing inflection timeline tied to large-project and mega-project demand [1]. R&amp;D Intensity (0/1): No R&amp;D spend data found; this is not an R&amp;D-intensive rental business.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WillScot's stated mission — 'to lead the industry by safely providing superior service and the highest quality turn key solutions' — is operational and largely interchangeable with any industrial rental services peer [4]. Community Impact (0/2): No specific charitable programs or dollar-quantified community investment were found despite a stated core value of 'active engagement in communities.' Employee Retention (0/2): WillScot carries a 2.6/5 Glassdoor rating, 28% below the Construction/Repair/Maintenance Services industry average, with reviews describing a leadership team 'bloated with micromanagers and yes-men' that 'suffocated innovation and crushed morale,' plus a controversial new 5-day in-office mandate [3]. Insider Buying (0/2): Recent Form 4 filings show net insider selling — director Bradley Soultz sold 155,781 shares in open-market transactions in May 2026, while CEO Timothy Boswell's July 2026 share issuance was a non-market PSU vesting with shares withheld for taxes, not a purchase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D/E of 438.4% is far above the 300% floor, scoring 0, and ROE of -7.2% and profit margin of -3.0% are both negative, also scoring 0 — WillScot swung to a full-year FY2025 net loss of -$53.0M versus +$28.1M in FY2024 despite record FY2024 revenue of $2.40B, reflecting integration/impairment charges [6]. Revenue growth is soft: -2.0% YoY and a thin +2.1% 3-year CAGR (FY2022 $2.14B to FY2025 $2.28B) [6]. Forward P/E of 20.1x is essentially at target, and Forward PEG of 1.67 is moderate. Liquidity is not a constraint: $27.23 price x 2.49M average daily volume ≈ $67.8M/day, far above the $1M floor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WillScot shows little evidence of infinite-game thinking under Sinek's lens. Its mission statement is operational rather than a genuine Just Cause, internal culture signals point to low psychological safety (Glassdoor reviews citing micromanagement and crushed morale), insiders have been net sellers rather than buyers, and the company's evolution has been incremental (data-center vertical expansion) rather than transformative. The 2020 Mobile Mini merger created scale but the surrounding evidence base for long-term, purpose-driven leadership is thin.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WillScot's stated purpose — leading the industry through safety, service, and quality turnkey solutions — is a shallow, operationally-framed statement interchangeable with peers in industrial rental services, with no evidence it drives strategic decisions beyond day-to-day execution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rating the company 2.4/5 for culture and values and citing a leadership team that 'suffocated innovation' and ruled by 'mindless KPIs, not vision,' alongside a newly mandated 5-day return-to-office policy that has generated employee friction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WillScot publicly acknowledging competitors' strengths or framing competitive dynamics as a source of self-improvement; available commentary focuses on internal operational execution rather than the competitive landscape.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2020 merger of Williams Scotsman and Mobile Mini created the current scaled platform, and management is now redirecting growth investment toward the data-center and large-project vertical (targeted 50% growth in 2026) — a real but incremental adaptation rather than a fundamental reinvention of the leasing model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earnings for long-term capability; the FY2025 net loss appears driven by integration/impairment dynamics rather than a deliberate strategic investment, and the recent CEO transition and RTO mandate suggest operational rather than visionary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WillScot raised its FY2026 outlook to approximately $2.25B revenue and $915M adjusted EBITDA after a Q1 2026 beat ($549M revenue, $211M adjusted EBITDA, $0.21 adjusted EPS vs. $0.16 consensus), driven by accelerating large- and mega-project demand — particularly a data-center vertical management expects to grow 50% in 2026 with the opportunity pipeline up 70% [1]. Management is guiding to a leasing-revenue inflection in the second half of 2026 as this higher-margin project mix builds. Delivery and installation revenue already grew 12% YoY in Q1, and the company's dominant modular-space branch network provides a structurally AI-immune, physical-asset moat.</w:t>
      </w:r>
    </w:p>
    <w:p>
      <w:pPr>
        <w:spacing w:after="120"/>
      </w:pPr>
      <w:r>
        <w:rPr>
          <w:rFonts w:ascii="Calibri" w:hAnsi="Calibri"/>
          <w:b w:val="0"/>
          <w:color w:val="3A4A28"/>
          <w:sz w:val="20"/>
        </w:rPr>
        <w:t>The balance sheet and governance picture is the primary concern: debt-to-equity of 438% is far outside IOWN's target range, and WillScot posted a full-year FY2025 net loss of -$53.0M (versus +$28.1M in FY2024) despite record revenue, with profit margin and ROE both negative [6]. Culture signals are weak — a 2.6/5 Glassdoor rating (28% below industry average) with reviews citing management that 'suffocated innovation,' compounded by net insider selling from a board director in May 2026 rather than conviction buying [3][5]. With thin Inspiration (1/10) and Infinite Game (2/10) scores reflecting a lack of a differentiated Just Cause or high-trust culture, WillScot screens as an operationally-recovering but governance- and culture-challenged name best suited for a WATCH rather than a buy.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leasing revenue inflection as large-project and data-center vertical demand converts from pipeline (up 70%) into activated units, per management guidance</w:t>
      </w:r>
    </w:p>
    <w:p>
      <w:pPr>
        <w:spacing w:before="40" w:after="40"/>
        <w:ind w:left="283"/>
      </w:pPr>
      <w:r>
        <w:rPr>
          <w:rFonts w:ascii="Calibri" w:hAnsi="Calibri"/>
          <w:b/>
          <w:color w:val="4A6B25"/>
          <w:sz w:val="20"/>
        </w:rPr>
        <w:t xml:space="preserve">2. </w:t>
      </w:r>
      <w:r>
        <w:rPr>
          <w:rFonts w:ascii="Calibri" w:hAnsi="Calibri"/>
          <w:b w:val="0"/>
          <w:color w:val="3A4A28"/>
          <w:sz w:val="20"/>
        </w:rPr>
        <w:t>Continued data-center vertical growth (management targets 50% growth in 2026) as AI infrastructure buildout drives modular space and power-adjacent leasing demand</w:t>
      </w:r>
    </w:p>
    <w:p>
      <w:pPr>
        <w:spacing w:before="40" w:after="40"/>
        <w:ind w:left="283"/>
      </w:pPr>
      <w:r>
        <w:rPr>
          <w:rFonts w:ascii="Calibri" w:hAnsi="Calibri"/>
          <w:b/>
          <w:color w:val="4A6B25"/>
          <w:sz w:val="20"/>
        </w:rPr>
        <w:t xml:space="preserve">3. </w:t>
      </w:r>
      <w:r>
        <w:rPr>
          <w:rFonts w:ascii="Calibri" w:hAnsi="Calibri"/>
          <w:b w:val="0"/>
          <w:color w:val="3A4A28"/>
          <w:sz w:val="20"/>
        </w:rPr>
        <w:t>Deleveraging progress from the current 438% D/E level as free cash flow is directed toward debt paydown rather than integration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of 438%) combined with a FY2025 net loss leaves limited margin for error if large-project demand growth disappoints</w:t>
      </w:r>
    </w:p>
    <w:p>
      <w:pPr>
        <w:spacing w:before="40" w:after="40"/>
        <w:ind w:left="283"/>
      </w:pPr>
      <w:r>
        <w:rPr>
          <w:rFonts w:ascii="Calibri" w:hAnsi="Calibri"/>
          <w:b/>
          <w:color w:val="4A6B25"/>
          <w:sz w:val="20"/>
        </w:rPr>
        <w:t xml:space="preserve">2. </w:t>
      </w:r>
      <w:r>
        <w:rPr>
          <w:rFonts w:ascii="Calibri" w:hAnsi="Calibri"/>
          <w:b w:val="0"/>
          <w:color w:val="3A4A28"/>
          <w:sz w:val="20"/>
        </w:rPr>
        <w:t>Weak internal culture signals (2.6/5 Glassdoor, below-industry rating, reports of micromanagement) create execution and retention risk during a period requiring operational discipline</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and a shallow, operationally-framed mission statement suggest limited evidence of long-term, purpose-driven conviction from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WillScot's core business — physically manufacturing, transporting, installing, and servicing modular buildings and storage containers — is structurally immune to AI substitution; no analyst commentary was found suggesting AI threatens leasing demand, and the accelerating data-center vertical (AI infrastructure buildout itself) is actually a tailwind, with data-center project pipeline up 70% [1]. AI Opportunity (0/1): No quantifiable AI-related revenue or products were identified; WillScot is a beneficiary of AI-driven data-center construction demand rather than a direct AI deployer.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WillScot Reports First Quarter 2026 Results and Raises 2026 Full Year Outlook — GlobeNewswire,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WillScot Reports Fourth Quarter and Full Year 2025 Results and Provides 2026 Outlook — investors.willscot.com, February 2026</w:t>
      </w:r>
    </w:p>
    <w:p>
      <w:pPr>
        <w:spacing w:before="20" w:after="20"/>
        <w:ind w:left="170"/>
      </w:pPr>
      <w:r>
        <w:rPr>
          <w:rFonts w:ascii="Calibri" w:hAnsi="Calibri"/>
          <w:b/>
          <w:color w:val="4A6B25"/>
          <w:sz w:val="15"/>
        </w:rPr>
        <w:t xml:space="preserve">3. </w:t>
      </w:r>
      <w:r>
        <w:rPr>
          <w:rFonts w:ascii="Calibri" w:hAnsi="Calibri"/>
          <w:b w:val="0"/>
          <w:color w:val="3A4A28"/>
          <w:sz w:val="17"/>
        </w:rPr>
        <w:t>WillScot Reviews — Glassdoor,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WillScot Leadership Team, Core Values, and Careers pages — willscot.com / careers.willscot.com,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WillScot Holdings Corp Form 4 Insider Trading Filings (Boswell, Soultz) — StockTitan/SEC, May-July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Yahoo Finance QuoteSummary — WSC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