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WVE</w:t>
      </w:r>
      <w:r>
        <w:rPr>
          <w:rFonts w:ascii="Calibri" w:hAnsi="Calibri"/>
          <w:b/>
          <w:color w:val="1A2010"/>
          <w:sz w:val="40"/>
        </w:rPr>
        <w:t xml:space="preserve">  Wave Life Sciences Ltd.</w:t>
      </w:r>
    </w:p>
    <w:p>
      <w:pPr>
        <w:spacing w:after="120"/>
      </w:pPr>
      <w:r>
        <w:rPr>
          <w:rFonts w:ascii="Calibri" w:hAnsi="Calibri"/>
          <w:b/>
          <w:color w:val="6E8450"/>
          <w:sz w:val="18"/>
        </w:rPr>
        <w:t>GROWTH SLEEVE · 2026-07-07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Singapore</w:t>
      </w:r>
    </w:p>
    <w:p>
      <w:pPr>
        <w:spacing w:after="80"/>
      </w:pPr>
      <w:r>
        <w:rPr>
          <w:rFonts w:ascii="Calibri" w:hAnsi="Calibri"/>
          <w:b w:val="0"/>
          <w:color w:val="3A4A28"/>
          <w:sz w:val="20"/>
        </w:rPr>
        <w:t>Wave Life Sciences Ltd. is a clinical-stage biotechnology company developing stereopure oligonucleotides and RNA editing therapeutics for genetically defined diseases. The company's proprietary PRISM platform enables precise control of oligonucleotide stereochemistry, powering programs across silencing (siRNA), splicing, and RNA editing modalities. Lead programs include WVE-007 (INHBE siRNA) for obesity, WVE-006 (RNA editing) for alpha-1 antitrypsin deficiency, and WVE-003 for Huntington's disease.</w:t>
      </w:r>
    </w:p>
    <w:p>
      <w:r>
        <w:rPr>
          <w:rFonts w:ascii="Calibri" w:hAnsi="Calibri"/>
          <w:b/>
          <w:color w:val="6E8450"/>
          <w:sz w:val="18"/>
        </w:rPr>
        <w:t>450 Employees · https://www.wavelifesciences.com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Wave's proprietary PRISM platform represents a genuine technological moat in stereopure oligonucleotide chemistry, differentiating it from competitors like Alnylam and Ionis who rely on racemic mixtures[1]. The WVE-007 Phase 1 INLIGHT trial data showed fat loss comparable to semaglutide at the lowest therapeutic dose after just three months, with the potential for once or twice yearly dosing — a dramatically differentiated profile in the competitive obesity space[2]. The RNA editing platform (AIMers) is first-in-class, with WVE-006 for AATD advancing toward accelerated approval discussions with FDA. R&amp;D intensity is extremely high given the company's pre-revenue stage, and the pipeline spans multiple modalities (siRNA, splicing, editing) across obesity, rare disease, and neurodegeneration. Deducting for the lack of any approved product and the binary clinical-stage risk profile.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Wave's mission to deliver transformative medicines for patients with serious genetic diseases through RNA-based approaches is clear and science-driven[1]. The company has attracted strong scientific talent and maintains active academic collaborations. However, as a pre-commercial biotech, there is limited community impact footprint, and insider buying signals are modest. Employee retention appears solid for the sector but the Singapore headquarters with U.S. operations creates some organizational complexity. The mission is genuine but not yet validated by patient impact at scale.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biotech with a -250% profit margin and negative forward P/E of -5.84, reflecting the cash-burn stage of development[2]. Revenue of 2.5M is entirely from collaboration agreements, not product sales. Positively, the balance sheet is relatively clean with 20M cash against only 9M debt (D/E effectively near zero), providing approximately 2+ years of runway at current burn rates. Market cap of 88M reflects speculative pipeline value. Average daily dollar volume of ~4.1M comfortably clears the M liquidity floor. The PEG ratio is not meaningful for a pre-earnings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Wave demonstrates several infinite game characteristics — a just cause rooted in transforming genetic medicine, existential flexibility shown by pivoting from earlier failed programs to its current stereopure and RNA editing platforms, and willingness to pursue first-in-class science. However, the company's heavy dependence on capital markets and binary clinical outcomes creates finite pressures. Leadership under Paul Bolno has shown courage in advancing novel modalities but the company's long-term sustainability depends on near-term clinical readouts.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Transforming treatment of genetic diseases through precision RNA therapeutics is a compelling just cause that transcends any single product. The mission is patient-centered and scientifically ambitious[1].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suggest a positive scientific culture with strong collaboration, though typical biotech pressures around funding uncertainty and program prioritization create tension. Cross-functional teams across Singapore and Cambridge operations appear functional.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Wave competes against well-resourced rivals like Alnylam, Ionis, and Arrowhead in RNA therapeutics but has carved a differentiated niche with stereopure chemistry and RNA editing. The company openly acknowledges competitor strengths and uses them as benchmarks for its own platform advancement.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Wave demonstrated significant existential flexibility by pivoting away from its earlier antisense programs (including discontinuing WVE-120101/102 for Huntington's) to rebuild around stereopure chemistry and RNA editing — a bold strategic reset that is now bearing fruit with the WVE-007 obesity data[2].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courage in pursuing first-in-class RNA editing (a largely unproven modality) and in entering the hyper-competitive obesity market with a differentiated approach. However, the company's dependence on external capital and partnership deals creates constraints on truly independent strategic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Wave Life Sciences offers a high-risk, high-reward play on next-generation RNA therapeutics, anchored by its proprietary PRISM stereopure chemistry platform and a differentiated pipeline spanning obesity, rare disease, and neurodegeneration. The WVE-007 obesity program is the near-term catalyst, with Phase 1 INLIGHT data showing fat loss comparable to GLP-1 agonists but with potential once-yearly dosing — a profile that could be transformative if confirmed in larger trials[2].</w:t>
      </w:r>
    </w:p>
    <w:p>
      <w:pPr>
        <w:spacing w:after="120"/>
      </w:pPr>
      <w:r>
        <w:rPr>
          <w:rFonts w:ascii="Calibri" w:hAnsi="Calibri"/>
          <w:b w:val="0"/>
          <w:color w:val="3A4A28"/>
          <w:sz w:val="20"/>
        </w:rPr>
        <w:t>The RNA editing platform (WVE-006 for AATD, WVE-008 for liver disease) represents a potentially paradigm-shifting modality with first-mover advantage. With 20M in cash and minimal debt, the balance sheet provides adequate runway through key data readouts. However, the pre-revenue stage, deeply negative profitability, and binary clinical risk warrant a WATCH recommendation until Phase 2 data de-risks the obesity program. The overall score of 48 reflects strong innovation offset by weak financial infrastructure typical of clinical-stage biotech[1][2].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WVE-007 Phase 2a multidose INLIGHT data expected H2 2026, which could validate the differentiated obesity profile and drive significant re-rating</w:t>
      </w:r>
    </w:p>
    <w:p>
      <w:pPr>
        <w:spacing w:before="40" w:after="40"/>
        <w:ind w:left="283"/>
      </w:pPr>
      <w:r>
        <w:rPr>
          <w:rFonts w:ascii="Calibri" w:hAnsi="Calibri"/>
          <w:b/>
          <w:color w:val="4A6B25"/>
          <w:sz w:val="20"/>
        </w:rPr>
        <w:t xml:space="preserve">2. </w:t>
      </w:r>
      <w:r>
        <w:rPr>
          <w:rFonts w:ascii="Calibri" w:hAnsi="Calibri"/>
          <w:b w:val="0"/>
          <w:color w:val="3A4A28"/>
          <w:sz w:val="20"/>
        </w:rPr>
        <w:t>FDA feedback on accelerated approval pathway for WVE-006 in alpha-1 antitrypsin deficiency expected mid-2026</w:t>
      </w:r>
    </w:p>
    <w:p>
      <w:pPr>
        <w:spacing w:before="40" w:after="40"/>
        <w:ind w:left="283"/>
      </w:pPr>
      <w:r>
        <w:rPr>
          <w:rFonts w:ascii="Calibri" w:hAnsi="Calibri"/>
          <w:b/>
          <w:color w:val="4A6B25"/>
          <w:sz w:val="20"/>
        </w:rPr>
        <w:t xml:space="preserve">3. </w:t>
      </w:r>
      <w:r>
        <w:rPr>
          <w:rFonts w:ascii="Calibri" w:hAnsi="Calibri"/>
          <w:b w:val="0"/>
          <w:color w:val="3A4A28"/>
          <w:sz w:val="20"/>
        </w:rPr>
        <w:t>CTA filings for WVE-008 (PNPLA3 liver disease) in US and Europe during 2026, expanding the RNA editing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clinical-stage risk: failure of WVE-007 Phase 2a would severely impair the investment thesis and likely result in significant share price decline</w:t>
      </w:r>
    </w:p>
    <w:p>
      <w:pPr>
        <w:spacing w:before="40" w:after="40"/>
        <w:ind w:left="283"/>
      </w:pPr>
      <w:r>
        <w:rPr>
          <w:rFonts w:ascii="Calibri" w:hAnsi="Calibri"/>
          <w:b/>
          <w:color w:val="4A6B25"/>
          <w:sz w:val="20"/>
        </w:rPr>
        <w:t xml:space="preserve">2. </w:t>
      </w:r>
      <w:r>
        <w:rPr>
          <w:rFonts w:ascii="Calibri" w:hAnsi="Calibri"/>
          <w:b w:val="0"/>
          <w:color w:val="3A4A28"/>
          <w:sz w:val="20"/>
        </w:rPr>
        <w:t>Cash runway of ~2 years at current burn rate creates dilution risk if additional capital raises are needed before key data readouts</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in obesity therapeutics from well-capitalized pharma companies (Novo Nordisk, Lilly, Amgen) could reduce WVE-007's commercial opportunity even with a differentiated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Wave's core value lies in wet-lab chemistry, clinical trial execution, and proprietary stereopure manufacturing — areas where AI is an enabler rather than a disruptor. AI/ML tools accelerate oligonucleotide design and target identification within PRISM but cannot replace the platform's physical chemistry IP or clinical development expertise. The RNA therapeutics space benefits from AI-driven drug discovery (computational target selection, sequence optimization) without facing substitution risk. Wave actively integrates computational approaches into its discovery workflow. AI threat is minimal; the opportunity score adds +1 for active adoption of AI-assisted drug design[1][2].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Wave Life Sciences 2026 Strategic Priorities, J.P. Morgan Healthcare Conference, January 2026</w:t>
      </w:r>
    </w:p>
    <w:p>
      <w:pPr>
        <w:spacing w:before="20" w:after="20"/>
        <w:ind w:left="170"/>
      </w:pPr>
      <w:r>
        <w:rPr>
          <w:rFonts w:ascii="Calibri" w:hAnsi="Calibri"/>
          <w:b/>
          <w:color w:val="4A6B25"/>
          <w:sz w:val="15"/>
        </w:rPr>
        <w:t xml:space="preserve">2. </w:t>
      </w:r>
      <w:r>
        <w:rPr>
          <w:rFonts w:ascii="Calibri" w:hAnsi="Calibri"/>
          <w:b w:val="0"/>
          <w:color w:val="3A4A28"/>
          <w:sz w:val="17"/>
        </w:rPr>
        <w:t>Wave Life Sciences Q1 2026 Earnings Release and INLIGHT Phase 1 Interim Data,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