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WWR</w:t>
      </w:r>
      <w:r>
        <w:rPr>
          <w:rFonts w:ascii="Calibri" w:hAnsi="Calibri"/>
          <w:b/>
          <w:color w:val="1A2010"/>
          <w:sz w:val="40"/>
        </w:rPr>
        <w:t xml:space="preserve">  Westwater Resources, Inc.</w:t>
      </w:r>
    </w:p>
    <w:p>
      <w:pPr>
        <w:spacing w:after="120"/>
      </w:pPr>
      <w:r>
        <w:rPr>
          <w:rFonts w:ascii="Calibri" w:hAnsi="Calibri"/>
          <w:b/>
          <w:color w:val="6E8450"/>
          <w:sz w:val="18"/>
        </w:rPr>
        <w:t>GROWTH SLEEVE · 2026-07-19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United States</w:t>
      </w:r>
    </w:p>
    <w:p>
      <w:pPr>
        <w:spacing w:after="80"/>
      </w:pPr>
      <w:r>
        <w:rPr>
          <w:rFonts w:ascii="Calibri" w:hAnsi="Calibri"/>
          <w:b w:val="0"/>
          <w:color w:val="3A4A28"/>
          <w:sz w:val="20"/>
        </w:rPr>
        <w:t>Westwater Resources is a pre-revenue energy technology company developing domestic battery-grade natural graphite supply for the U.S. electric vehicle and energy storage industries, having pivoted from its historical uranium mining business. Its Kellyton Graphite Processing Plant in Alabama has approximately $129.6M invested against a $245M Phase I budget, sourced from the Coosa Graphite Deposit — the largest natural flake graphite deposit in the contiguous United States — with initial production expected within roughly 12 months of securing the remaining ~$115M in project financing [1][2]. The company filed a Clean Water Act NPDES permit for Coosa in March 2026, but lost a key offtake customer when SK On terminated its Products Procurement Agreement, and reported a Q1 2026 net loss of $4.7M [1][2].</w:t>
      </w:r>
    </w:p>
    <w:p>
      <w:r>
        <w:rPr>
          <w:rFonts w:ascii="Calibri" w:hAnsi="Calibri"/>
          <w:b/>
          <w:color w:val="6E8450"/>
          <w:sz w:val="18"/>
        </w:rPr>
        <w:t>21 Employees · https://westwaterresources.net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Westwater executed a genuine business-model transformation from uranium mining (as Uranium Resources, Inc.) to battery-grade graphite processing, investing $129.6M to date in the Kellyton plant — a significant pivot that opened an entirely new addressable market, though commercial production has not yet been achieved [1][2]. AI Deployment (0/2): No evidence of AI deployment was found. Market Share (1/2): Westwater is positioned to become a domestic leader in U.S. battery-grade graphite via the largest natural flake graphite deposit in the contiguous U.S., strategically relevant given China's dominance of global graphite processing, but with zero current production it cannot claim actual share [2]. Product Pipeline (1/2): Management cites a specific ~12-month path to initial production once the remaining ~$115M in Phase I financing is secured, but that financing condition is unmet and the loss of the SK On offtake agreement is a setback [1][2]. R&amp;D Intensity (0/1): No comparative R&amp;D-to-revenue figure available; the company is pre-revenue.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Westwater frames itself as an 'energy technology and critical minerals company' building domestic battery materials supply — a clearer, more distinctive purpose than a typical mining company, tied to U.S. energy independence and EV supply chain security [2]. Community Impact (0/2): No specific charitable or community investment programs beyond standard Alabama permitting engagement were found. Employee Retention (0/2): With only 21 employees, no meaningful tenure or turnover data exists. Insider Buying (0/2): No evidence of net insider buying by CEO Frank Bakker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705,501 shares multiplied by the $0.41 stock price yields daily dollar volume of roughly $289,000, well below the $1,000,000 threshold required by IOWN — Infrastructure score is set to 0 regardless of other metrics per the hard liquidity rule [3]. Underlying fundamentals are also weak: the company is pre-revenue with ROE of -18.70%, D/E of 2% (minimal debt), and a Q1 2026 net loss of $4.7M versus $2.7M a year earlier, driven by Coosa permitting costs and increased stock-based compensation [1][3]. Cash of $41.5M provides over a year of runway for non-discretionary spending but does not cover the ~$115M still required for Phase I of Kellyton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Westwater made a genuine, transformative bet years ago — abandoning its legacy uranium business entirely to pursue domestic battery-grade graphite ahead of the anticipated EV supply chain shift — and has sustained that bet through $129.6M of capital investment despite financing gaps and the recent loss of its SK On offtake agreement. The purpose (U.S. critical minerals independence) has real substance, but remains unproven by actual production, and evidence of courageous leadership or competitive self-awareness beyond the pivot itself is thin.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Westwater's framing as a domestic critical-minerals supply chain company connects to a larger purpose — reducing U.S. dependence on Chinese graphite processing — that is genuine and government-relevant, but remains unvalidated by execution given the company is still pre-revenue with an unmet financing gap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Frank Bakker has led the company since January 2023 with relevant engineering and plant-construction experience, providing leadership stability, but no broader employee turnover or tenure data exists for the 21-person team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Westwater framing competitors — domestic or Chinese — as worthy rivals to learn from; the company's public narrative centers on displacing Chinese supply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Westwater's transformation from a uranium mining company (Uranium Resources, Inc.) into a battery-grade graphite processor represents a genuine, transformative reinvention — abandoning the legacy business entirely to pursue an unrelated, emerging critical-minerals market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invest in Kellyton ($129.6M to date) and file new environmental permits despite an unmet ~$115M financing gap and the loss of the SK On offtake agreement demonstrates a willingness to sustain a long-term bet through setbacks, accepting rising net losses ($4.7M in Q1 2026 vs. $2.7M a year earlier) along the way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Westwater Resources is a strategically positioned but deeply speculative bet on U.S. domestic battery-grade graphite supply, anchored by the largest natural flake graphite deposit in the contiguous United States and $129.6M already invested in the Kellyton Graphite Processing Plant [1][2]. The company filed a key Clean Water Act NPDES permit for the Coosa Graphite Deposit in March 2026, advancing the regulatory pathway, and holds $41.5M in cash providing over a year of non-discretionary runway [2]. If the remaining ~$115M in Phase I financing is secured, management guides to initial production within approximately 12 months, which would make Westwater one of the first vertically integrated U.S. battery-anode graphite producers at a moment of intensifying policy focus on de-risking critical mineral supply chains from China [1][2].</w:t>
      </w:r>
    </w:p>
    <w:p>
      <w:pPr>
        <w:spacing w:after="120"/>
      </w:pPr>
      <w:r>
        <w:rPr>
          <w:rFonts w:ascii="Calibri" w:hAnsi="Calibri"/>
          <w:b w:val="0"/>
          <w:color w:val="3A4A28"/>
          <w:sz w:val="20"/>
        </w:rPr>
        <w:t>The bear case is severe. Westwater fails IOWN's liquidity floor outright — daily dollar volume of roughly $289,000 is well below the $1M threshold, making the stock difficult to trade in institutional size and driving the Infrastructure score to 0 [3]. The company is pre-revenue with ROE of -18.70%, and SK On's termination of its Products Procurement Agreement removed a committed offtake customer for a portion of planned Phase I capacity, a material setback to the demand case [1][2]. Q1 2026 net loss widened to $4.7M from $2.7M a year earlier, and the ~$115M funding gap for Phase I remains unresolved, meaning further dilutive capital raises at depressed share prices are likely. With only 21 employees, the organization has limited bench strength to simultaneously manage financing, permitting, and eventual plant commissioning.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Securing the remaining ~$115M in Phase I project financing would unlock the path to initial production within approximately 12 months [1][2]</w:t>
      </w:r>
    </w:p>
    <w:p>
      <w:pPr>
        <w:spacing w:before="40" w:after="40"/>
        <w:ind w:left="283"/>
      </w:pPr>
      <w:r>
        <w:rPr>
          <w:rFonts w:ascii="Calibri" w:hAnsi="Calibri"/>
          <w:b/>
          <w:color w:val="4A6B25"/>
          <w:sz w:val="20"/>
        </w:rPr>
        <w:t xml:space="preserve">2. </w:t>
      </w:r>
      <w:r>
        <w:rPr>
          <w:rFonts w:ascii="Calibri" w:hAnsi="Calibri"/>
          <w:b w:val="0"/>
          <w:color w:val="3A4A28"/>
          <w:sz w:val="20"/>
        </w:rPr>
        <w:t>Signing a replacement offtake agreement to backfill the terminated SK On Products Procurement Agreement would restore demand visibility for Kellyton output [2]</w:t>
      </w:r>
    </w:p>
    <w:p>
      <w:pPr>
        <w:spacing w:before="40" w:after="40"/>
        <w:ind w:left="283"/>
      </w:pPr>
      <w:r>
        <w:rPr>
          <w:rFonts w:ascii="Calibri" w:hAnsi="Calibri"/>
          <w:b/>
          <w:color w:val="4A6B25"/>
          <w:sz w:val="20"/>
        </w:rPr>
        <w:t xml:space="preserve">3. </w:t>
      </w:r>
      <w:r>
        <w:rPr>
          <w:rFonts w:ascii="Calibri" w:hAnsi="Calibri"/>
          <w:b w:val="0"/>
          <w:color w:val="3A4A28"/>
          <w:sz w:val="20"/>
        </w:rPr>
        <w:t>Further U.S. policy support (tariffs on Chinese graphite, expanded critical minerals incentives) would strengthen the economic case for domestic supply and could accelerate financing discussions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stock fails IOWN's liquidity floor with daily dollar volume of roughly $289,000, well under the $1M threshold — Infrastructure score is 0 and the stock is difficult to trade in institutional size [3]</w:t>
      </w:r>
    </w:p>
    <w:p>
      <w:pPr>
        <w:spacing w:before="40" w:after="40"/>
        <w:ind w:left="283"/>
      </w:pPr>
      <w:r>
        <w:rPr>
          <w:rFonts w:ascii="Calibri" w:hAnsi="Calibri"/>
          <w:b/>
          <w:color w:val="4A6B25"/>
          <w:sz w:val="20"/>
        </w:rPr>
        <w:t xml:space="preserve">2. </w:t>
      </w:r>
      <w:r>
        <w:rPr>
          <w:rFonts w:ascii="Calibri" w:hAnsi="Calibri"/>
          <w:b w:val="0"/>
          <w:color w:val="3A4A28"/>
          <w:sz w:val="20"/>
        </w:rPr>
        <w:t>An unresolved ~$115M Phase I financing gap, combined with the terminated SK On offtake agreement, creates significant execution and dilution risk before any revenue is realized [1][2]</w:t>
      </w:r>
    </w:p>
    <w:p>
      <w:pPr>
        <w:spacing w:before="40" w:after="40"/>
        <w:ind w:left="283"/>
      </w:pPr>
      <w:r>
        <w:rPr>
          <w:rFonts w:ascii="Calibri" w:hAnsi="Calibri"/>
          <w:b/>
          <w:color w:val="4A6B25"/>
          <w:sz w:val="20"/>
        </w:rPr>
        <w:t xml:space="preserve">3. </w:t>
      </w:r>
      <w:r>
        <w:rPr>
          <w:rFonts w:ascii="Calibri" w:hAnsi="Calibri"/>
          <w:b w:val="0"/>
          <w:color w:val="3A4A28"/>
          <w:sz w:val="20"/>
        </w:rPr>
        <w:t>Pre-revenue status with widening losses ($4.7M in Q1 2026) and negative ROE of -18.70% leaves the company fully dependent on capital markets access, which is constrained by its micro-cap size and illiquidity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Westwater's business — mining and processing natural graphite into battery-anode material — is a physical-world materials operation immune to AI substitution; its value proposition (domestic, non-Chinese graphite supply) is a geopolitical and supply-chain moat rather than a technology one [1][2]. AI Opportunity (0/1): No evidence of AI-related revenue streams or AI-enabled process technology was found; the company's core differentiation is its purification and coating process, not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Westwater Resources Q1 2026 Business Update and Earnings Call — StockTitan, Investing.com, Yahoo Finance,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Westwater Resources Coosa Graphite NPDES Permit Filing — BusinessWire, StreetInsider,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WWR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