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WY</w:t>
      </w:r>
      <w:r>
        <w:rPr>
          <w:rFonts w:ascii="Calibri" w:hAnsi="Calibri"/>
          <w:b/>
          <w:color w:val="1A2010"/>
          <w:sz w:val="40"/>
        </w:rPr>
        <w:t xml:space="preserve">  Weyerhaeuser Company</w:t>
      </w:r>
    </w:p>
    <w:p>
      <w:pPr>
        <w:spacing w:after="120"/>
      </w:pPr>
      <w:r>
        <w:rPr>
          <w:rFonts w:ascii="Calibri" w:hAnsi="Calibri"/>
          <w:b/>
          <w:color w:val="6E8450"/>
          <w:sz w:val="18"/>
        </w:rPr>
        <w:t>DIVIDEND SLEEVE · 2026-08-24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Weyerhaeuser Company is the largest private owner of timberlands in North America, owning or controlling approximately 10.5 million acres in the United States and licensing 14 million acres in Canada. The company operates through three segments: Timberlands, Real Estate/Energy/Natural Resources, and Wood Products. As a REIT, it manages forests for sustainable timber supply while manufacturing wood products. Founded in 1900 and headquartered in Seattle, Washington.</w:t>
      </w:r>
    </w:p>
    <w:p>
      <w:r>
        <w:rPr>
          <w:rFonts w:ascii="Calibri" w:hAnsi="Calibri"/>
          <w:b/>
          <w:color w:val="6E8450"/>
          <w:sz w:val="18"/>
        </w:rPr>
        <w:t>9,200 Employees · https://www.weyerhaeuser.com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Weyerhaeuser launched a climate and carbon solutions business and executed a $58M Virginia timberland sale using a value-add approach [1][2]. These represent incremental product extensions and portfolio optimization rather than transformative business model changes. AI Deployment (1/2): Weyerhaeuser is actively deploying AI for forest management at acre-level precision through seven specific digitization initiatives, enabling managers to decide faster and crews to act more consistently [4]. These AI deployments are linked to the company's 2030 financial targets and represent operational improvements with measurable impact, though they are internal tools rather than AI products sold externally. Market Share (2/2): Weyerhaeuser is the dominant player in the timber REIT space as the largest private timberland owner in North America with 10.5 million acres in the U.S. and 14 million acres licensed in Canada [1]. This position is virtually unassailable given the finite supply of high-quality timberland. Product Pipeline (1/2): The climate solutions and carbon credits business represents a genuinely new revenue stream leveraging existing timberland assets [5]. However, timelines remain vague and the revenue contribution is still immaterial relative to core timber and wood products operations. R&amp;D Intensity (0/1): As a timber REIT, Weyerhaeuser's R&amp;D spending is minimal and below average even for natural resources companies. The business model is asset-intensive rather than research-intensive.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Weyerhaeuser's tagline 'Growing what matters' and stated values of safety, integrity, sustainability, and citizenship reflect a clear connection to sustainable forestry and long-term land stewardship [5]. However, the mission is not deeply distinctive or idealistic — it describes what the company does rather than articulating a transformative vision beyond responsible resource management. Community Impact (1/2): Weyerhaeuser is a Climate Pledge member committed to net-zero emissions by 2040, plants 100 million trees annually, and maintains 100% sustainable forest management certification across its timberlands [5]. Community engagement programs exist but represent general corporate sustainability rather than category-leading social impact with specific dollar amounts or distinctive programs. Employee Retention (1/2): CEO Devin Stockfish has strengthened a culture emphasizing innovation and operational execution since taking the helm [3]. Glassdoor reviews cite company culture, people, and long employee tenures (30-45+ years) as top reasons to work at Weyerhaeuser. However, no specific turnover metrics distinguish the company from industry averages. Insider Buying (1/2): Director Richard Beckwitt purchased 20,000 shares ($514,000) in February 2026 and Director James O'Rourke acquired 4,000 shares ($101,400) the following day, resulting in net insider buying of $207K over the last 12 months [6]. These director purchases signal board-level conviction, though CEO Stockfish also filed to sell shares.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Weyerhaeuser's balance sheet is a relative bright spot with D/E of 58%, well below the 70% target, reflecting disciplined leverage for a REIT [6]. Q2 2026 results beat estimates ($0.13 adjusted EPS vs. $0.10 consensus; $1.87B revenue) on a sharp wood products recovery, and management raised full-year Strategic Land Solutions EBITDA guidance by $25M to ~$450M plus raised Climate Solutions guidance [1]. Still, most metrics remain weak: ROE of 4.97% is far below the 15% target, Forward P/E of 61.21x sits at the 60x floor (scoring zero), and profit margin of 6.89% is well below the 20% target. Revenue continues to contract, down -2.61% YoY and -9.24% on a 5-year CAGR basis (2021's $10.2B peak to a $6.85B TTM run-rate) [1][2], though TTM EPS is up 72.4% YoY off a depressed base. The dividend profile is mixed: an estimated 30+ years of continuous payments since the 2010 REIT conversion provide stability, but the 128.38% payout ratio means the dividend still exceeds GAAP earnings, and dividend growth has been minimal (a $0.20 to $0.21 quarterly increase in late 2024, ~1.2%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Weyerhaeuser's 125+ year history and the inherent long-term nature of forestry — where trees take decades to mature — make the company a natural infinite game player. The business model is fundamentally built on multi-generational time horizons. However, the company operates within REIT distribution requirements and quarterly earnings pressures that create finite-game tensions, and recent strategic moves have been more about optimizing existing operations than pursuing a transformative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Weyerhaeuser's 125+ years of sustainable forestry embody an inherently long-term cause — growing and managing forests that will outlive any individual or management team [5]. The biological reality of timber growth cycles forces a multi-decade perspective that few businesses share. The company's commitment to sustainable land stewardship and carbon sequestration gives the cause genuine environmental resonance. However, the just cause is not yet at the level where it IS the competitive advantage in a way that competitors cannot replicate — other timber REITs pursue similar sustainability narratives.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Devin Stockfish has emphasized culture and innovation since assuming leadership, and the company maintains stable, experienced management across its timber and wood products operations [3]. The workforce of approximately 9,200 employees operates in a specialized industry where institutional knowledge of forest management is critical and creates natural retention. However, no specific employee satisfaction data, turnover metrics, or distinctive trust-building programs were identified that would distinguish Weyerhaeuser from industry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Weyerhaeuser's competitive positioning language is standard for REITs, emphasizing its dominant acreage position rather than learning from competitors [1]. The company's scale advantage (10.5M acres) is so large relative to peers like Rayonier and PotlatchDeltic that it may not feel competitive pressure that would drive a worthy rivals mentality.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Weyerhaeuser has undergone significant strategic transformation over its history, transitioning from a diversified conglomerate — with operations in real estate development, financial services, and paper manufacturing — to a pure-play timber REIT [1][3]. This represents genuine existential flexibility, as the company was willing to shed entire business lines to focus on its core timberland assets. The recent launch of carbon solutions represents another strategic evolution. However, these transformations occurred over decades rather than as proactive pivots, and the current business model has been stable since the REIT conversion.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launch of the carbon solutions business and Climate Pledge commitment to net-zero by 2040 represent willingness to invest in long-term opportunities with uncertain near-term returns [5]. Management has consistently prioritized sustainable forestry practices even when short-term harvesting maximization could boost quarterly results. However, the timber business is naturally long-term by biological necessity, which reduces the 'courage' required — the company's patience is partly forced by the physics of tree growth rather than being a purely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Weyerhaeuser offers exposure to an irreplaceable natural asset — 10.5 million acres of prime U.S. timberland — with near-total immunity to AI disruption and a 125-year operating history [1]. Q2 2026 results beat estimates ($0.13 adjusted EPS vs. $0.10 consensus, shares +4.4%) on a sharp lumber and engineered-wood recovery, and management raised full-year Strategic Land Solutions EBITDA guidance to ~$450M plus lifted Climate Solutions guidance [1]. The 3.44% dividend yield provides income while investors wait for a fuller housing recovery, and D/E of 58% represents conservative leverage relative to REIT peers [6]. The company's AI-driven forest digitization program, with seven specific initiatives linked to 2030 financial targets, positions Weyerhaeuser to extract more value per acre than competitors [4]. Carbon solutions and climate credits represent an emerging revenue stream that could monetize timberland assets in ways never previously possible [5].</w:t>
      </w:r>
    </w:p>
    <w:p>
      <w:pPr>
        <w:spacing w:after="120"/>
      </w:pPr>
      <w:r>
        <w:rPr>
          <w:rFonts w:ascii="Calibri" w:hAnsi="Calibri"/>
          <w:b w:val="0"/>
          <w:color w:val="3A4A28"/>
          <w:sz w:val="20"/>
        </w:rPr>
        <w:t>The bear case remains significant despite the Q2 beat. Forward P/E of 61.21x still sits at the model's 60x floor, reflecting depressed trailing earnings that have not fully recovered — ROE of just 4.97% and profit margin of 6.89% show the business generating minimal returns on its asset base [1][6]. Revenue continues to contract, down -2.61% YoY and -9.24% on a 5-year CAGR basis as the business runs roughly a third smaller than its 2021 peak of $10.2B [1][2]. The 128.38% payout ratio means the $0.84 annual dividend still exceeds GAAP earnings, relying on timber depletion accounting and REIT distribution mechanics to sustain payments, and 5-year dividend growth is only about 1%. The company's fortunes are heavily tied to the U.S. housing cycle — if elevated mortgage rates persist and housing starts remain depressed, the fuller earnings recovery implied by the current multiple may take years to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lumber and engineered-wood-products recovery following the Q2 2026 beat, which could compress the elevated ~61x forward P/E toward historical averages if the trend holds through H2 2026 [1]</w:t>
      </w:r>
    </w:p>
    <w:p>
      <w:pPr>
        <w:spacing w:before="40" w:after="40"/>
        <w:ind w:left="283"/>
      </w:pPr>
      <w:r>
        <w:rPr>
          <w:rFonts w:ascii="Calibri" w:hAnsi="Calibri"/>
          <w:b/>
          <w:color w:val="4A6B25"/>
          <w:sz w:val="20"/>
        </w:rPr>
        <w:t xml:space="preserve">2. </w:t>
      </w:r>
      <w:r>
        <w:rPr>
          <w:rFonts w:ascii="Calibri" w:hAnsi="Calibri"/>
          <w:b w:val="0"/>
          <w:color w:val="3A4A28"/>
          <w:sz w:val="20"/>
        </w:rPr>
        <w:t>Raised full-year Strategic Land Solutions (~$450M EBITDA) and Climate Solutions guidance signal commercialization of carbon credits and land monetization is ahead of plan, unlocking new revenue from existing timberland assets [1][5]</w:t>
      </w:r>
    </w:p>
    <w:p>
      <w:pPr>
        <w:spacing w:before="40" w:after="40"/>
        <w:ind w:left="283"/>
      </w:pPr>
      <w:r>
        <w:rPr>
          <w:rFonts w:ascii="Calibri" w:hAnsi="Calibri"/>
          <w:b/>
          <w:color w:val="4A6B25"/>
          <w:sz w:val="20"/>
        </w:rPr>
        <w:t xml:space="preserve">3. </w:t>
      </w:r>
      <w:r>
        <w:rPr>
          <w:rFonts w:ascii="Calibri" w:hAnsi="Calibri"/>
          <w:b w:val="0"/>
          <w:color w:val="3A4A28"/>
          <w:sz w:val="20"/>
        </w:rPr>
        <w:t>AI-driven forest digitization achieving measurable cost savings and yield improvements, validating the link to 2030 financial targets and demonstrating technology leadership in the timber industry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weakness in U.S. housing starts due to elevated mortgage rates — earnings are highly cyclical and the ~61x forward P/E still prices in a recovery that a single strong quarter does not confirm [1][6]</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concerns as the 128.38% payout ratio still exceeds GAAP earnings, with roughly 1% five-year dividend growth and no clear near-term catalyst to bring the payout ratio below 100%</w:t>
      </w:r>
    </w:p>
    <w:p>
      <w:pPr>
        <w:spacing w:before="40" w:after="40"/>
        <w:ind w:left="283"/>
      </w:pPr>
      <w:r>
        <w:rPr>
          <w:rFonts w:ascii="Calibri" w:hAnsi="Calibri"/>
          <w:b/>
          <w:color w:val="4A6B25"/>
          <w:sz w:val="20"/>
        </w:rPr>
        <w:t xml:space="preserve">3. </w:t>
      </w:r>
      <w:r>
        <w:rPr>
          <w:rFonts w:ascii="Calibri" w:hAnsi="Calibri"/>
          <w:b w:val="0"/>
          <w:color w:val="3A4A28"/>
          <w:sz w:val="20"/>
        </w:rPr>
        <w:t>5-year revenue CAGR of -9.24% reflects a structurally smaller company than in 2021, and a renewed housing downturn would pressure the recently raised segment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Weyerhaeuser's core business — owning and managing physical timberlands, harvesting trees, and manufacturing wood products — is nearly immune to AI disruption [1]. AI cannot replace biological tree growth cycles, sawmill operations, or real estate assets. The company's competitive moat is rooted in the finite supply of high-quality timberland and decades of sustainable forest management, neither of which can be digitally replicated or disrupted. Indirectly, AI-driven demand for data center construction may benefit wood products through increased building activity. The only AI exposure exists in administrative, planning, and logistics functions, which represent a small fraction of operations and where AI is more likely to improve efficiency than eliminate jobs. AI Opportunity (1/1): Weyerhaeuser is proactively deploying AI through seven specific forest digitization initiatives that enable acre-level precision in forest management decisions [4]. These tools help managers decide faster and field crews act more consistently, and the company has explicitly linked these AI investments to its 2030 financial targets. This represents measurable operational value from AI adoption in a sector where most competitors have not yet begun digitization at this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Weyerhaeuser Q2 2026 Earnings Release and Call Transcript — Investing.com, Motley Fool,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Weyerhaeuser Q2 2026 10-Q and Revenue History — SEC EDGAR / StockAnalysis.com,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Weyerhaeuser CEO Devin Stockfish Leadership and Culture — REIT.com/Nareit, 2019-2026</w:t>
      </w:r>
    </w:p>
    <w:p>
      <w:pPr>
        <w:spacing w:before="20" w:after="20"/>
        <w:ind w:left="170"/>
      </w:pPr>
      <w:r>
        <w:rPr>
          <w:rFonts w:ascii="Calibri" w:hAnsi="Calibri"/>
          <w:b/>
          <w:color w:val="4A6B25"/>
          <w:sz w:val="15"/>
        </w:rPr>
        <w:t xml:space="preserve">4. </w:t>
      </w:r>
      <w:r>
        <w:rPr>
          <w:rFonts w:ascii="Calibri" w:hAnsi="Calibri"/>
          <w:b w:val="0"/>
          <w:color w:val="3A4A28"/>
          <w:sz w:val="17"/>
        </w:rPr>
        <w:t>Weyerhaeuser AI: 7 Bold Moves Digitizing the Forest — ProgressiveRobot, April 2026</w:t>
      </w:r>
    </w:p>
    <w:p>
      <w:pPr>
        <w:spacing w:before="20" w:after="20"/>
        <w:ind w:left="170"/>
      </w:pPr>
      <w:r>
        <w:rPr>
          <w:rFonts w:ascii="Calibri" w:hAnsi="Calibri"/>
          <w:b/>
          <w:color w:val="4A6B25"/>
          <w:sz w:val="15"/>
        </w:rPr>
        <w:t xml:space="preserve">5. </w:t>
      </w:r>
      <w:r>
        <w:rPr>
          <w:rFonts w:ascii="Calibri" w:hAnsi="Calibri"/>
          <w:b w:val="0"/>
          <w:color w:val="3A4A28"/>
          <w:sz w:val="17"/>
        </w:rPr>
        <w:t>Weyerhaeuser Sustainability Strategy and ESG Data Table — weyerhaeuser.com,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WY Statistics, Financials, and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