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XIFR</w:t>
      </w:r>
      <w:r>
        <w:rPr>
          <w:rFonts w:ascii="Calibri" w:hAnsi="Calibri"/>
          <w:b/>
          <w:color w:val="1A2010"/>
          <w:sz w:val="40"/>
        </w:rPr>
        <w:t xml:space="preserve">  XPLR Infrastructure, LP</w:t>
      </w:r>
    </w:p>
    <w:p>
      <w:pPr>
        <w:spacing w:after="120"/>
      </w:pPr>
      <w:r>
        <w:rPr>
          <w:rFonts w:ascii="Calibri" w:hAnsi="Calibri"/>
          <w:b/>
          <w:color w:val="6E8450"/>
          <w:sz w:val="18"/>
        </w:rPr>
        <w:t>GROWTH SLEEVE · 2026-07-29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Renewable Electricity · NYSE · United States</w:t>
      </w:r>
    </w:p>
    <w:p>
      <w:pPr>
        <w:spacing w:after="80"/>
      </w:pPr>
      <w:r>
        <w:rPr>
          <w:rFonts w:ascii="Calibri" w:hAnsi="Calibri"/>
          <w:b w:val="0"/>
          <w:color w:val="3A4A28"/>
          <w:sz w:val="20"/>
        </w:rPr>
        <w:t>XPLR Infrastructure, LP (formerly NextEra Energy Partners, LP) is a limited partnership that owns, operates, and acquires contracted clean energy infrastructure assets including wind, solar, and battery storage projects across North America. The partnership rebranded from NextEra Energy Partners in January 2025 after suspending all common unit distributions and pivoting away from its yieldco model. Managed by new leadership appointed in early 2025. Headquartered in Juno Beach, Florida.</w:t>
      </w:r>
    </w:p>
    <w:p>
      <w:r>
        <w:rPr>
          <w:rFonts w:ascii="Calibri" w:hAnsi="Calibri"/>
          <w:b/>
          <w:color w:val="6E8450"/>
          <w:sz w:val="18"/>
        </w:rPr>
        <w:t>500 Employees · https://www.xplrinfrastructure.com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XPLR's recent strategic activity has been largely reactive — the January 2025 rebranding from NextEra Energy Partners, distribution suspension, and pivot away from the yieldco model were driven by financial distress rather than proactive innovation [1][3]. The company exercised options to co-invest in four battery storage projects (targeting 200 net MW by 2027) and recontracted 90 MW at a $25/MW price uplift, representing modest but tangible strategic progress under new leadership [1]. AI Deployment (0/2): No evidence of AI-powered products shipping to customers or specific AI-driven operational improvements reported. Market Share (1/2): XPLR owns a meaningful portfolio of contracted wind, solar, and battery storage projects across North America with $1.23B in annual revenue, but it is a mid-tier player in a highly competitive renewable energy infrastructure market dominated by NextEra Energy, Brookfield, and AES [1]. Product Pipeline (1/2): Battery storage expansion targeting 200 MW by 2027 and recontracting existing wind assets at higher prices provide some growth visibility, but the pipeline is modest relative to peers and execution remains uncertain given the recent organizational upheaval [1]. R&amp;D Intensity (0/1): As an infrastructure partnership, XPLR does not conduct R&amp;D — capital is deployed into acquiring and operating existing renewable energy assets.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XPLR's stated purpose centers on owning and operating clean energy infrastructure, which has inherent alignment with environmental sustainability. However, the company does not articulate a distinctive mission or vision beyond its business description — the rebranding to 'XPLR Infrastructure' was primarily driven by financial necessity (distancing from the failed yieldco model) rather than purpose [3]. Community Impact (0/2): No distinctive community investment programs, charitable initiatives, or social impact programs were identified. The company has been focused on financial restructuring and operational stabilization since the distribution suspension. Employee Retention (0/2): The entire executive leadership team was replaced in January 2025 — CEO John Ketchum, President Rebecca Kujawa, and CFO Brian Bolster all resigned on the same day, replaced by new CEO Alan Liu and CFO Jessica Geoffroy [2]. This level of leadership upheaval signals severe organizational instability. Insider Buying (1/2): New CEO Alan Liu, a former Goldman Sachs managing director, presumably received equity compensation aligning his interests with unitholders, but the securities class action lawsuit and leadership upheaval create significant uncertainty about management credibility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XPLR reported Q1 2026 adjusted EBITDA of $435M and net income of $33M, showing early signs of stabilization after a full-year 2025 net loss of $28M [1]. D/E of 198% is elevated with $6.33B in total debt against a $1.15B market cap, reflecting the capital-intensive nature of infrastructure assets. ROE of 3.35% barely exceeds zero. Net margin of -13.04% over the trailing twelve months reflects ongoing losses, though the positive Q1 2026 suggests potential profitability improvement. Revenue growth has slowed to approximately flat YoY after 14.1% growth in 2024. The primary structural issue is that enormous depreciation and interest expense ($6.33B debt) consume the vast majority of operating cash flow, leaving minimal net income despite substantial EBITDA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XPLR Infrastructure displays predominantly finite game characteristics. The partnership's recent history is one of financial distress, distribution suspension, securities lawsuits, and complete leadership upheaval — all hallmarks of an organization that was playing to win this quarter rather than built to endure. The January 2025 distribution suspension and rebranding represent an attempt to reset, but the company has not yet articulated a Just Cause for its existence beyond financial recovery. Under Sinek's framework, XPLR failed the most basic test of infinite game thinking: building a business model that could survive adversity.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XPLR Infrastructure has no articulated Just Cause. The rebranding from NextEra Energy Partners was driven by the failure of its yieldco business model — the company suspended all common unit distributions in January 2025 after admitting it could not sustain payouts, and is now subject to a securities class action alleging that management concealed the unsustainability of the business model [3]. Clean energy infrastructure could serve as the foundation for a Just Cause, but the company has not articulated one. The current purpose appears to be financial survival and recovery, which is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simultaneous resignation of CEO John Ketchum, President Rebecca Kujawa, and CFO Brian Bolster in January 2025 represents a catastrophic failure of organizational trust [2]. The securities class action lawsuit alleges that leadership made materially false and misleading statements about the sustainability of the business model. When the entire C-suite departs at once and investors allege fraud, psychological safety within the organization is effectively destroyed. New CEO Alan Liu and CFO Jessica Geoffroy must rebuild trust from near-zero.</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XPLR operates in a competitive renewable energy infrastructure market alongside much larger players including NextEra Energy (its former parent), Brookfield Renewable, and AES Corporation. The partnership's strategy under new leadership focuses on operational improvement, battery storage expansion, and recontracting at higher prices — reflecting a self-improvement orientation rather than competitive aggression [1]. The company's small scale relative to peers forces a niche-focused approach that could foster healthy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XPLR's pivot away from the yieldco model — suspending distributions, replacing leadership, and rebranding — represents a significant strategic shift. The company is restructuring from a distribution-focused vehicle into a standalone clean energy infrastructure operator with battery storage expansion [1]. However, Sinek distinguishes between flexibility driven by purpose (infinite) and flexibility driven by desperation (finite). XPLR's pivot was clearly driven by the latter — the yieldco model collapsed, and the company had no choice but to adapt. This is survival, not existential flexibility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suspend all common unit distributions in January 2025 was painful but necessary — choosing financial survival over maintaining an unsustainable payout that many unitholders depended on required courage, even if it was also unavoidable [3]. The complete leadership replacement shows willingness to make dramatic changes. However, the distribution suspension was accompanied by alleged misstatements about business model sustainability, and the courage came too late — earlier acknowledgment of the problem would have demonstrated greater leadership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XPLR Infrastructure is a turnaround story with significant optionality. Q1 2026 showed early stabilization with $435M adjusted EBITDA and $33M net income after a full-year 2025 net loss of $28M, and 2026 EBITDA guidance of $1.75-1.95B suggests substantial underlying cash flow generation from the clean energy asset portfolio [1]. At $11.67 per unit and a $1.15B market cap against guidance EBITDA of $1.75-1.95B, the valuation implies significant discount to replacement value. Battery storage expansion (200 MW by 2027) and recontracting at higher prices ($25/MW uplift) provide organic growth catalysts. The AI data center construction boom is driving surging electricity demand, structurally benefiting renewable energy generators.</w:t>
      </w:r>
    </w:p>
    <w:p>
      <w:pPr>
        <w:spacing w:after="120"/>
      </w:pPr>
      <w:r>
        <w:rPr>
          <w:rFonts w:ascii="Calibri" w:hAnsi="Calibri"/>
          <w:b w:val="0"/>
          <w:color w:val="3A4A28"/>
          <w:sz w:val="20"/>
        </w:rPr>
        <w:t>The risks are severe and multi-dimensional. A securities class action lawsuit alleges management made materially false statements about business model sustainability, creating potential financial liability and ongoing reputational damage [3]. The distribution suspension in January 2025 destroyed unitholder trust, and the complete C-suite replacement (CEO, President, CFO all resigned simultaneously) signals governance failure at the highest level [2]. Total debt of $6.33B against a $1.15B market cap creates extreme leverage risk — a 6:1 debt-to-market-cap ratio means even modest asset impairments could wipe out equity. Net margin of -13.04% and ROE of 3.35% indicate the company is barely generating returns on its asset base above its cost of capital. The 'pivot' from yieldco to standalone operator is untested under new management with no track record at this company, and the partnership structure limits strategic flexibility compared to C-corp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driving surging electricity demand, with XPLR's contracted clean energy assets positioned to benefit from both existing PPA revenue and recontracting opportunities at higher prices</w:t>
      </w:r>
    </w:p>
    <w:p>
      <w:pPr>
        <w:spacing w:before="40" w:after="40"/>
        <w:ind w:left="283"/>
      </w:pPr>
      <w:r>
        <w:rPr>
          <w:rFonts w:ascii="Calibri" w:hAnsi="Calibri"/>
          <w:b/>
          <w:color w:val="4A6B25"/>
          <w:sz w:val="20"/>
        </w:rPr>
        <w:t xml:space="preserve">2. </w:t>
      </w:r>
      <w:r>
        <w:rPr>
          <w:rFonts w:ascii="Calibri" w:hAnsi="Calibri"/>
          <w:b w:val="0"/>
          <w:color w:val="3A4A28"/>
          <w:sz w:val="20"/>
        </w:rPr>
        <w:t>Battery storage expansion targeting 200 net MW by 2027 through co-investment options with NextEra, adding a faster-growing asset class to the portfolio</w:t>
      </w:r>
    </w:p>
    <w:p>
      <w:pPr>
        <w:spacing w:before="40" w:after="40"/>
        <w:ind w:left="283"/>
      </w:pPr>
      <w:r>
        <w:rPr>
          <w:rFonts w:ascii="Calibri" w:hAnsi="Calibri"/>
          <w:b/>
          <w:color w:val="4A6B25"/>
          <w:sz w:val="20"/>
        </w:rPr>
        <w:t xml:space="preserve">3. </w:t>
      </w:r>
      <w:r>
        <w:rPr>
          <w:rFonts w:ascii="Calibri" w:hAnsi="Calibri"/>
          <w:b w:val="0"/>
          <w:color w:val="3A4A28"/>
          <w:sz w:val="20"/>
        </w:rPr>
        <w:t>Turnaround execution under new CEO Alan Liu (former Goldman Sachs MD) could re-rate the stock significantly from its deeply discounted $1.15B market cap relative to $1.75-1.95B EBITDA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materially false statements about business model sustainability creates financial liability risk and ongoing reputational damage that could impair capital market access</w:t>
      </w:r>
    </w:p>
    <w:p>
      <w:pPr>
        <w:spacing w:before="40" w:after="40"/>
        <w:ind w:left="283"/>
      </w:pPr>
      <w:r>
        <w:rPr>
          <w:rFonts w:ascii="Calibri" w:hAnsi="Calibri"/>
          <w:b/>
          <w:color w:val="4A6B25"/>
          <w:sz w:val="20"/>
        </w:rPr>
        <w:t xml:space="preserve">2. </w:t>
      </w:r>
      <w:r>
        <w:rPr>
          <w:rFonts w:ascii="Calibri" w:hAnsi="Calibri"/>
          <w:b w:val="0"/>
          <w:color w:val="3A4A28"/>
          <w:sz w:val="20"/>
        </w:rPr>
        <w:t>Extreme leverage — $6.33B total debt against $1.15B market cap — means modest asset impairments or rising interest rates could threaten equity value; D/E of 198% with negative trailing profitability</w:t>
      </w:r>
    </w:p>
    <w:p>
      <w:pPr>
        <w:spacing w:before="40" w:after="40"/>
        <w:ind w:left="283"/>
      </w:pPr>
      <w:r>
        <w:rPr>
          <w:rFonts w:ascii="Calibri" w:hAnsi="Calibri"/>
          <w:b/>
          <w:color w:val="4A6B25"/>
          <w:sz w:val="20"/>
        </w:rPr>
        <w:t xml:space="preserve">3. </w:t>
      </w:r>
      <w:r>
        <w:rPr>
          <w:rFonts w:ascii="Calibri" w:hAnsi="Calibri"/>
          <w:b w:val="0"/>
          <w:color w:val="3A4A28"/>
          <w:sz w:val="20"/>
        </w:rPr>
        <w:t>Complete C-suite replacement in January 2025 (CEO, President, CFO resigned simultaneously) signals governance failure; new management is untested at this company and must rebuild unitholder trust from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XPLR's core business — owning and operating physical wind farms, solar installations, and battery storage systems — is structurally immune to AI disruption [1]. AI cannot replace wind turbines spinning in a field, solar panels generating electricity, or battery systems storing and dispatching energy. The business requires massive capital investment, land rights, grid interconnection agreements, and environmental permits that create insurmountable barriers to AI-driven displacement. Moreover, AI data center construction is driving massive incremental electricity demand, positioning clean energy generators as direct beneficiaries of the AI boom. Long-term power purchase agreements (PPAs) with creditworthy counterparties provide revenue predictability. AI Opportunity (0/1): No evidence of XPLR generating revenue from AI-related products or deploying AI tools with quantified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XPLR Infrastructure Q1 2026 and Q4 2025 Results — SEC 8-K Filings and Press Releases, May 2026 and February 2026</w:t>
      </w:r>
    </w:p>
    <w:p>
      <w:pPr>
        <w:spacing w:before="20" w:after="20"/>
        <w:ind w:left="170"/>
      </w:pPr>
      <w:r>
        <w:rPr>
          <w:rFonts w:ascii="Calibri" w:hAnsi="Calibri"/>
          <w:b/>
          <w:color w:val="4A6B25"/>
          <w:sz w:val="15"/>
        </w:rPr>
        <w:t xml:space="preserve">2. </w:t>
      </w:r>
      <w:r>
        <w:rPr>
          <w:rFonts w:ascii="Calibri" w:hAnsi="Calibri"/>
          <w:b w:val="0"/>
          <w:color w:val="3A4A28"/>
          <w:sz w:val="17"/>
        </w:rPr>
        <w:t>XPLR Infrastructure Leadership Changes: Oscar Brown, Alan Liu, Jessica Geoffroy Appointments — PRNewswire, Panabee, January 2025</w:t>
      </w:r>
    </w:p>
    <w:p>
      <w:pPr>
        <w:spacing w:before="20" w:after="20"/>
        <w:ind w:left="170"/>
      </w:pPr>
      <w:r>
        <w:rPr>
          <w:rFonts w:ascii="Calibri" w:hAnsi="Calibri"/>
          <w:b/>
          <w:color w:val="4A6B25"/>
          <w:sz w:val="15"/>
        </w:rPr>
        <w:t xml:space="preserve">3. </w:t>
      </w:r>
      <w:r>
        <w:rPr>
          <w:rFonts w:ascii="Calibri" w:hAnsi="Calibri"/>
          <w:b w:val="0"/>
          <w:color w:val="3A4A28"/>
          <w:sz w:val="17"/>
        </w:rPr>
        <w:t>XPLR Infrastructure Securities Class Action Lawsuit — Robbins LLP, PRNewswire, ZLK, 2025</w:t>
      </w:r>
    </w:p>
    <w:p>
      <w:pPr>
        <w:spacing w:before="20" w:after="20"/>
        <w:ind w:left="170"/>
      </w:pPr>
      <w:r>
        <w:rPr>
          <w:rFonts w:ascii="Calibri" w:hAnsi="Calibri"/>
          <w:b/>
          <w:color w:val="4A6B25"/>
          <w:sz w:val="15"/>
        </w:rPr>
        <w:t xml:space="preserve">4. </w:t>
      </w:r>
      <w:r>
        <w:rPr>
          <w:rFonts w:ascii="Calibri" w:hAnsi="Calibri"/>
          <w:b w:val="0"/>
          <w:color w:val="3A4A28"/>
          <w:sz w:val="17"/>
        </w:rPr>
        <w:t>XPLR Infrastructure ESG Risk Rating — Sustainalytics, Western Midstream Sustainability Page,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WallStreetZen — XIFR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