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XP</w:t>
      </w:r>
      <w:r>
        <w:rPr>
          <w:rFonts w:ascii="Calibri" w:hAnsi="Calibri"/>
          <w:b/>
          <w:color w:val="1A2010"/>
          <w:sz w:val="40"/>
        </w:rPr>
        <w:t xml:space="preserve">  XP Inc.</w:t>
      </w:r>
    </w:p>
    <w:p>
      <w:pPr>
        <w:spacing w:after="120"/>
      </w:pPr>
      <w:r>
        <w:rPr>
          <w:rFonts w:ascii="Calibri" w:hAnsi="Calibri"/>
          <w:b/>
          <w:color w:val="6E8450"/>
          <w:sz w:val="18"/>
        </w:rPr>
        <w:t>GROWTH SLEEVE · 2026-08-24 · Inspire: 40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Financials · Capital Markets · NASDAQ · Brazil</w:t>
      </w:r>
    </w:p>
    <w:p>
      <w:pPr>
        <w:spacing w:after="80"/>
      </w:pPr>
      <w:r>
        <w:rPr>
          <w:rFonts w:ascii="Calibri" w:hAnsi="Calibri"/>
          <w:b w:val="0"/>
          <w:color w:val="3A4A28"/>
          <w:sz w:val="20"/>
        </w:rPr>
        <w:t>XP Inc. is a leading technology-driven financial services platform in Brazil, offering a comprehensive range of financial products and services including investments, brokerage, insurance, credit, and banking through an open platform model. Founded as XP Investimentos, the company has disrupted Brazil's traditional banking oligopoly.</w:t>
      </w:r>
    </w:p>
    <w:p>
      <w:r>
        <w:rPr>
          <w:rFonts w:ascii="Calibri" w:hAnsi="Calibri"/>
          <w:b/>
          <w:color w:val="6E8450"/>
          <w:sz w:val="18"/>
        </w:rPr>
        <w:t>8,069 Employees · https://www.xpinc.com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XP has executed a significant transformation from a pure brokerage to a full financial services platform encompassing investments, banking, insurance, and credit over the last five years, expanding from B2C into a wholesale bank [2]. This represents meaningful new capability development, though not a category-creating breakthrough. AI Deployment (1/2): XP has invested in technology as a core differentiator under CEO Thiago Maffra (former CTO), but no specific AI products shipping or measurable AI-driven revenue have been publicly cited [3]. Market Share (2/2): XP is the category leader in Brazil's independent investment platform space with R$1.5T in client assets and 4.8M active clients, having disrupted the traditional banking oligopoly dominated by Itau, Bradesco, and Banco do Brasil [1]. Product Pipeline (1/2): XP's 2026 guidance of 17% revenue growth reflects confidence in its expanding platform, with continued buildout of banking and wholesale capabilities, though no specific next-generation product announcements have been disclosed [1]. R&amp;D Intensity (1/1): Technology investment is core to XP's identity — the CTO-to-CEO succession underscores the company's technology-first culture, and R&amp;D spending is above average for the financial services sector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XP's mission to democratize access to financial products in Brazil directly challenges the banking oligopoly — it is specific, thoughtful, and reflects genuine intentionality connecting to a larger purpose of financial inclusion for Brazilian consumers [2][3]. Community Impact (0/2): No specific charitable programs or community investment initiatives have been cited beyond general ESG commitments and a target of 50% women in the workforce by 2025 [2]. Employee Retention (1/2): Leadership stability is demonstrated by founder Guilherme Benchimol remaining as Executive Chairman and the internal promotion of CTO Thiago Maffra to CEO in 2021, suggesting strong organizational continuity and internal development pathways [3]. Insider Buying (0/2): No insider transactions have been reported in the past three months, and no notable net insider buying was identified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delivered gross revenue of R$5.06B (+8% YoY, TTM +10.8%) with adjusted net income of R$1.4B (+5% YoY), continuing a steady growth trajectory from R$11.9B revenue in 2021 to R$17.8B in FY2025 and R$18.6B TTM [1]. Combined client assets reached R$2.2T (+17% YoY) with R$28B in net new money, and wholesale/corporate revenue grew 32%/117% respectively as XP diversifies beyond retail brokerage [1]. ROE of 22.56% and profit margin of 28.54% reflect strong capital efficiency and profitability. Forward P/E of 7.39 and a newly-available PEG of 0.46 are both well below their respective 20 and 1.0 targets, indicating compelling valuation relative to earnings growth. Revenue growth 5yr CAGR of 10.4% exceeds the 10% target. D/E of 642% is high on a mechanical basis and scores zero, though this is typical for the financial services sector where balance sheet leverage (client margin loans, banking deposits) is the business model rather than a distress signal.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XP Inc. demonstrates meaningful infinite game characteristics through its founding mission to democratize financial access in Brazil and its willingness to evolve from a pure brokerage into a comprehensive financial platform. However, the structured notes controversy and relatively short public company track record (IPO in 2019) limit the evidence of sustained infinite thinking through cycles of adversity. The company shows promise but needs more time to prove its commitment to long-term value creation over short-term revenue optimization.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XP's mission to democratize financial products in Brazil and disrupt the banking oligopoly represents a genuine cause with meaningful execution validation — R$1.5T in client assets and 4.8M active clients demonstrate real progress toward financial inclusion [1][2]. The cause is specific, resilient enough to have survived leadership transition (founder to professional CEO), and clearly connected to strategic decisions. However, the company hasn't yet been tested through decades or major financial crises as a public entity, and the structured notes controversy raises questions about whether client welfare is consistently prioritized over revenue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internal promotion of CTO Thiago Maffra to CEO in 2021, with founder Guilherme Benchimol staying as Executive Chairman, suggests organizational continuity and trust in internal talent development [3]. With roughly 8,000+ employees, XP has built a stable leadership structure, though the May 2026 AGM saw a board reshuffle — a director resignation and a new interim independent director appointed to chair the Risks, Credit and ESG Committee — reflecting active governance renewal rather than instability [4]. However, limited public data on employee satisfaction, turnover rates, or internal culture practices makes it difficult to fully assess psychological safety and team trust across the organization.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XP competes against Brazil's largest financial institutions — Itau Unibanco, Bradesco, and BTG Pactual — and frames the competitive dynamic as democratizing access rather than destroying rivals [2]. The company's competitive language focuses on expanding the market for financial products and reducing barriers to entry for Brazilian consumers, not on taking market share from specific competitors. BTG Pactual's digital push has sharpened XP's own execution, exemplifying the worthy rival dynamic.</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XP has evolved meaningfully from a pure investment brokerage to a comprehensive financial platform spanning investments, banking, insurance, and credit, and more recently expanded into a wholesale bank serving institutional clients [2]. Each expansion was driven by the core mission of democratizing financial access rather than desperation. However, these moves are incremental extensions of the existing business model rather than transformative pivots that fundamentally reinvent the company's identity.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XP demonstrated courage in building a wholesale bank and expanding into insurance and credit while already profitable in its core investment platform — investing in long-term capabilities that cannibalize short-term simplicity [2]. The decision to IPO on NASDAQ rather than B3 (Brazilian exchange) showed willingness to hold itself to global standards. However, the structured notes (COE) mis-selling complaints and unilateral liquidation practices suggest tension between short-term revenue generation and client welfare that undermines the courage narrative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XP Inc. has established itself as Brazil's leading independent financial services platform, with combined client assets reaching R$2.2T (+17% YoY) and R$28B in net new money in Q2 2026, disrupting the traditional banking oligopoly through a technology-driven, low-fee open platform model [1]. The company delivered consistent growth from R$11.9B revenue in 2021 to R$17.8B in FY2025 and R$18.6B TTM, with wholesale revenue up 32% and corporate revenue up 117% as XP diversifies beyond retail brokerage into institutional and banking verticals [1]. At a forward P/E of 7.39, trailing P/E of 8.59, and a PEG ratio of just 0.46, XP trades at a significant discount to global fintech peers on both an earnings and growth-adjusted basis, reflecting both Brazil country risk and emerging market valuation compression. Management continues to target double-digit 2026 revenue growth, combined with 22.56% ROE and 28.54% profit margin, presenting an attractive risk-reward profile for investors willing to accept Brazilian macro exposure.</w:t>
      </w:r>
    </w:p>
    <w:p>
      <w:pPr>
        <w:spacing w:after="120"/>
      </w:pPr>
      <w:r>
        <w:rPr>
          <w:rFonts w:ascii="Calibri" w:hAnsi="Calibri"/>
          <w:b w:val="0"/>
          <w:color w:val="3A4A28"/>
          <w:sz w:val="20"/>
        </w:rPr>
        <w:t>The primary concerns center on country risk and governance. Brazil's macroeconomic volatility — including currency fluctuations, elevated interest rates, and political uncertainty — creates persistent headwinds; CEO Thiago Maffra noted Q2 2026 results would have shown low-teens revenue growth without wider credit spreads and softer debt-capital-markets issuance [1][5]. The D/E ratio of 642% is standard for financial services but amplifies sensitivity to credit cycles and interest rate movements. The structured notes (COE) controversy, involving complaints about mis-selling high-risk products to moderate-risk clients and unilateral position liquidations, raises governance questions about whether growth targets are consistently prioritized over client welfare [4]. A May 2026 board reshuffle — a director resignation and a new interim independent director installed as ESG committee chair — shows governance is actively evolving but also underscores it is not yet fully settled [4]. Competition from BTG Pactual's digital platform and traditional banks' fintech initiatives could pressure margins in XP's core investment distribution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double-digit revenue growth target for 2026, with wholesale/corporate revenue (+32%/+117% in Q2) diversifying XP beyond retail brokerage commissions toward more resilient institutional revenue</w:t>
      </w:r>
    </w:p>
    <w:p>
      <w:pPr>
        <w:spacing w:before="40" w:after="40"/>
        <w:ind w:left="283"/>
      </w:pPr>
      <w:r>
        <w:rPr>
          <w:rFonts w:ascii="Calibri" w:hAnsi="Calibri"/>
          <w:b/>
          <w:color w:val="4A6B25"/>
          <w:sz w:val="20"/>
        </w:rPr>
        <w:t xml:space="preserve">2. </w:t>
      </w:r>
      <w:r>
        <w:rPr>
          <w:rFonts w:ascii="Calibri" w:hAnsi="Calibri"/>
          <w:b w:val="0"/>
          <w:color w:val="3A4A28"/>
          <w:sz w:val="20"/>
        </w:rPr>
        <w:t>26%+ of client assets now under fee-based advisory frameworks, shifting the revenue mix toward stable, recurring income and reducing sensitivity to transaction volumes</w:t>
      </w:r>
    </w:p>
    <w:p>
      <w:pPr>
        <w:spacing w:before="40" w:after="40"/>
        <w:ind w:left="283"/>
      </w:pPr>
      <w:r>
        <w:rPr>
          <w:rFonts w:ascii="Calibri" w:hAnsi="Calibri"/>
          <w:b/>
          <w:color w:val="4A6B25"/>
          <w:sz w:val="20"/>
        </w:rPr>
        <w:t xml:space="preserve">3. </w:t>
      </w:r>
      <w:r>
        <w:rPr>
          <w:rFonts w:ascii="Calibri" w:hAnsi="Calibri"/>
          <w:b w:val="0"/>
          <w:color w:val="3A4A28"/>
          <w:sz w:val="20"/>
        </w:rPr>
        <w:t>Continued disruption of Brazil's banking oligopoly as financial literacy and digital adoption increase among Brazil's 200M+ population, expanding the addressable market toward the R$2.2T+ combined client asset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Brazilian macroeconomic volatility — currency depreciation, elevated interest rates, and political uncertainty — continues to dampen results, as management itself attributed the Q2 2026 growth shortfall to wider credit spreads and weaker debt issuance</w:t>
      </w:r>
    </w:p>
    <w:p>
      <w:pPr>
        <w:spacing w:before="40" w:after="40"/>
        <w:ind w:left="283"/>
      </w:pPr>
      <w:r>
        <w:rPr>
          <w:rFonts w:ascii="Calibri" w:hAnsi="Calibri"/>
          <w:b/>
          <w:color w:val="4A6B25"/>
          <w:sz w:val="20"/>
        </w:rPr>
        <w:t xml:space="preserve">2. </w:t>
      </w:r>
      <w:r>
        <w:rPr>
          <w:rFonts w:ascii="Calibri" w:hAnsi="Calibri"/>
          <w:b w:val="0"/>
          <w:color w:val="3A4A28"/>
          <w:sz w:val="20"/>
        </w:rPr>
        <w:t>Structured notes (COE) mis-selling complaints and unilateral liquidation practices represent a reputational and regulatory risk that could erode client trust and invite regulatory scrutiny</w:t>
      </w:r>
    </w:p>
    <w:p>
      <w:pPr>
        <w:spacing w:before="40" w:after="40"/>
        <w:ind w:left="283"/>
      </w:pPr>
      <w:r>
        <w:rPr>
          <w:rFonts w:ascii="Calibri" w:hAnsi="Calibri"/>
          <w:b/>
          <w:color w:val="4A6B25"/>
          <w:sz w:val="20"/>
        </w:rPr>
        <w:t xml:space="preserve">3. </w:t>
      </w:r>
      <w:r>
        <w:rPr>
          <w:rFonts w:ascii="Calibri" w:hAnsi="Calibri"/>
          <w:b w:val="0"/>
          <w:color w:val="3A4A28"/>
          <w:sz w:val="20"/>
        </w:rPr>
        <w:t>Intensifying competition from BTG Pactual's digital platform and traditional banks' fintech initiatives could pressure take rates and client acquisition costs in XP's core investment distribution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XP operates in fintech and capital markets, which face moderate AI disruption risk. AI-powered robo-advisors and automated advisory services could threaten portions of XP's investment advisory business, and AI-driven competitors could reduce the cost advantage XP holds over traditional banks [1]. However, XP benefits from significant regulatory moats in Brazil's financial services sector, established client relationships with 4.8M active clients, a physical sales force and IFA (independent financial advisor) network, and brand trust built over years of disrupting incumbents — these create structural barriers that AI alone cannot replicate [2]. AI Opportunity (1/1): XP's technology-driven platform is well-positioned to deploy AI for personalized investment recommendations, fraud detection, credit scoring, and operational efficiency. The company's data on R$1.5T in client assets provides a rich foundation for AI-driven insights, and CEO Maffra's technology background suggests organizational readiness for AI adoption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XP Inc. Q2 2026 Earnings Release and Call Transcript — Investing.com, TradingKey, StockTitan, August 2026</w:t>
      </w:r>
    </w:p>
    <w:p>
      <w:pPr>
        <w:spacing w:before="20" w:after="20"/>
        <w:ind w:left="170"/>
      </w:pPr>
      <w:r>
        <w:rPr>
          <w:rFonts w:ascii="Calibri" w:hAnsi="Calibri"/>
          <w:b/>
          <w:color w:val="4A6B25"/>
          <w:sz w:val="15"/>
        </w:rPr>
        <w:t xml:space="preserve">2. </w:t>
      </w:r>
      <w:r>
        <w:rPr>
          <w:rFonts w:ascii="Calibri" w:hAnsi="Calibri"/>
          <w:b w:val="0"/>
          <w:color w:val="3A4A28"/>
          <w:sz w:val="17"/>
        </w:rPr>
        <w:t>XP Inc. Financials and Revenue History — StockAnalysis.com,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XP Inc. Management — investors.xpinc.com,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XP Inc. Reshapes Board Slate and Committees Ahead of May 29, 2026 AGM — The Globe and Mail / MarketScreener, 2026; XP Complaints — BrazilStockGuide: Complaints over COE losses and forced liquidations, 2025</w:t>
      </w:r>
    </w:p>
    <w:p>
      <w:pPr>
        <w:spacing w:before="20" w:after="20"/>
        <w:ind w:left="170"/>
      </w:pPr>
      <w:r>
        <w:rPr>
          <w:rFonts w:ascii="Calibri" w:hAnsi="Calibri"/>
          <w:b/>
          <w:color w:val="4A6B25"/>
          <w:sz w:val="15"/>
        </w:rPr>
        <w:t xml:space="preserve">5. </w:t>
      </w:r>
      <w:r>
        <w:rPr>
          <w:rFonts w:ascii="Calibri" w:hAnsi="Calibri"/>
          <w:b w:val="0"/>
          <w:color w:val="3A4A28"/>
          <w:sz w:val="17"/>
        </w:rPr>
        <w:t>StockAnalysis.com — XP Key Statistics,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